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E076" w14:textId="77777777" w:rsidR="005D7BAF" w:rsidRDefault="00177863">
      <w:pPr>
        <w:spacing w:after="40"/>
        <w:jc w:val="center"/>
      </w:pPr>
      <w:r>
        <w:rPr>
          <w:b/>
          <w:bCs/>
          <w:color w:val="8A6D1F"/>
          <w:sz w:val="19"/>
          <w:szCs w:val="19"/>
        </w:rPr>
        <w:t>CÁTEDRA PARA LA PROMOCIÓN INTERNACIONAL DE LA CULTURA HISPÁNICA</w:t>
      </w:r>
    </w:p>
    <w:p w14:paraId="3200EBC8" w14:textId="77777777" w:rsidR="005D7BAF" w:rsidRDefault="00177863">
      <w:pPr>
        <w:pBdr>
          <w:bottom w:val="single" w:sz="6" w:space="8" w:color="8A6D1F"/>
        </w:pBdr>
        <w:spacing w:after="220"/>
        <w:jc w:val="center"/>
      </w:pPr>
      <w:r>
        <w:rPr>
          <w:i/>
          <w:iCs/>
          <w:color w:val="1A2A5C"/>
          <w:sz w:val="19"/>
          <w:szCs w:val="19"/>
        </w:rPr>
        <w:t>Universidad Rey Juan Carlos</w:t>
      </w:r>
    </w:p>
    <w:p w14:paraId="6862141F" w14:textId="77777777" w:rsidR="005D7BAF" w:rsidRDefault="00177863">
      <w:pPr>
        <w:spacing w:before="100" w:after="50"/>
        <w:jc w:val="center"/>
      </w:pPr>
      <w:r>
        <w:rPr>
          <w:b/>
          <w:bCs/>
          <w:color w:val="1A2A5C"/>
          <w:sz w:val="26"/>
          <w:szCs w:val="26"/>
        </w:rPr>
        <w:t>HORIZONTES CULTURALES HISPÁNICOS</w:t>
      </w:r>
    </w:p>
    <w:p w14:paraId="15AAD982" w14:textId="77777777" w:rsidR="005D7BAF" w:rsidRPr="00963984" w:rsidRDefault="00177863">
      <w:pPr>
        <w:spacing w:after="50"/>
        <w:jc w:val="center"/>
        <w:rPr>
          <w:sz w:val="32"/>
          <w:szCs w:val="32"/>
          <w:u w:val="single"/>
        </w:rPr>
      </w:pPr>
      <w:r w:rsidRPr="00963984">
        <w:rPr>
          <w:b/>
          <w:bCs/>
          <w:color w:val="1A2A5C"/>
          <w:sz w:val="32"/>
          <w:szCs w:val="32"/>
          <w:u w:val="single"/>
        </w:rPr>
        <w:t>Plantilla de artículo</w:t>
      </w:r>
    </w:p>
    <w:p w14:paraId="56670773" w14:textId="77777777" w:rsidR="005D7BAF" w:rsidRDefault="00177863">
      <w:pPr>
        <w:pBdr>
          <w:bottom w:val="single" w:sz="6" w:space="8" w:color="8A6D1F"/>
        </w:pBdr>
        <w:spacing w:after="240"/>
        <w:jc w:val="center"/>
      </w:pPr>
      <w:r>
        <w:rPr>
          <w:i/>
          <w:iCs/>
          <w:color w:val="444444"/>
          <w:sz w:val="20"/>
          <w:szCs w:val="20"/>
        </w:rPr>
        <w:t>Modelo para la presentación de originales</w:t>
      </w:r>
    </w:p>
    <w:p w14:paraId="49959B99" w14:textId="77777777" w:rsidR="005D7BAF" w:rsidRDefault="00177863">
      <w:pPr>
        <w:spacing w:after="220"/>
        <w:jc w:val="center"/>
      </w:pPr>
      <w:r>
        <w:rPr>
          <w:color w:val="444444"/>
          <w:sz w:val="21"/>
          <w:szCs w:val="21"/>
        </w:rPr>
        <w:t>Documento de trabajo  ·  Versión 1.1  ·  21 de septiembre de 2026</w:t>
      </w:r>
    </w:p>
    <w:p w14:paraId="0B7F07BD" w14:textId="77777777" w:rsidR="005D7BAF" w:rsidRDefault="00177863">
      <w:pPr>
        <w:pBdr>
          <w:top w:val="single" w:sz="4" w:space="6" w:color="8A6D1F"/>
          <w:left w:val="single" w:sz="4" w:space="10" w:color="8A6D1F"/>
          <w:bottom w:val="single" w:sz="4" w:space="6" w:color="8A6D1F"/>
          <w:right w:val="single" w:sz="4" w:space="10" w:color="8A6D1F"/>
        </w:pBdr>
        <w:shd w:val="clear" w:color="auto" w:fill="F3F1E9"/>
        <w:spacing w:before="40" w:after="80" w:line="276" w:lineRule="auto"/>
        <w:jc w:val="both"/>
      </w:pPr>
      <w:r>
        <w:rPr>
          <w:b/>
          <w:bCs/>
          <w:color w:val="1A2A5C"/>
        </w:rPr>
        <w:t xml:space="preserve">Cómo usar esta plantilla.  </w:t>
      </w:r>
      <w:r>
        <w:t>Sustituya el texto en gris por el suyo, conservando los estilos. Formato: A4, márgenes de 2,5 cm, tipografía de 12 puntos, interlineado 1,5 y texto justificado, también en las notas al pie. Envíe el manuscrito anonimizado —sin nombre, afiliación ni autocitas identificativas— y, en archivo aparte, los datos del autor (nombre, afiliación, ORCID, correo y nota biográfica). Consulte las Normas para autores para la extensión y el estilo de cita (norma ISO 690).</w:t>
      </w:r>
    </w:p>
    <w:p w14:paraId="23589842" w14:textId="77777777" w:rsidR="005D7BAF" w:rsidRDefault="00177863">
      <w:pPr>
        <w:spacing w:before="160" w:after="40"/>
      </w:pPr>
      <w:r>
        <w:rPr>
          <w:b/>
          <w:bCs/>
          <w:color w:val="1A2A5C"/>
        </w:rPr>
        <w:t>Título del artículo (español)</w:t>
      </w:r>
    </w:p>
    <w:p w14:paraId="18D5D11A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[Escriba aquí el título, claro y conciso.]</w:t>
      </w:r>
    </w:p>
    <w:p w14:paraId="5DC3A3F7" w14:textId="77777777" w:rsidR="005D7BAF" w:rsidRDefault="00177863">
      <w:pPr>
        <w:spacing w:before="160" w:after="40"/>
      </w:pPr>
      <w:r>
        <w:rPr>
          <w:b/>
          <w:bCs/>
          <w:color w:val="1A2A5C"/>
        </w:rPr>
        <w:t>Title (English)</w:t>
      </w:r>
    </w:p>
    <w:p w14:paraId="35762C8C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[Type the English title here.]</w:t>
      </w:r>
    </w:p>
    <w:p w14:paraId="1197CD54" w14:textId="77777777" w:rsidR="005D7BAF" w:rsidRDefault="00177863">
      <w:pPr>
        <w:spacing w:before="160" w:after="40"/>
      </w:pPr>
      <w:r>
        <w:rPr>
          <w:b/>
          <w:bCs/>
          <w:color w:val="1A2A5C"/>
        </w:rPr>
        <w:t>Resumen</w:t>
      </w:r>
    </w:p>
    <w:p w14:paraId="07ACDA86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[Resumen de 150–250 palabras: objeto, método, principales resultados y conclusiones. Sin citas ni notas.]</w:t>
      </w:r>
    </w:p>
    <w:p w14:paraId="0D47F357" w14:textId="77777777" w:rsidR="005D7BAF" w:rsidRDefault="00177863">
      <w:pPr>
        <w:spacing w:before="160" w:after="40"/>
      </w:pPr>
      <w:r>
        <w:rPr>
          <w:b/>
          <w:bCs/>
          <w:color w:val="1A2A5C"/>
        </w:rPr>
        <w:t>Palabras clave</w:t>
      </w:r>
    </w:p>
    <w:p w14:paraId="1C4F0DF9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[Cuatro a seis términos separados por punto y coma.]</w:t>
      </w:r>
    </w:p>
    <w:p w14:paraId="1FD7DA3B" w14:textId="77777777" w:rsidR="005D7BAF" w:rsidRDefault="00177863">
      <w:pPr>
        <w:spacing w:before="160" w:after="40"/>
      </w:pPr>
      <w:r>
        <w:rPr>
          <w:b/>
          <w:bCs/>
          <w:color w:val="1A2A5C"/>
        </w:rPr>
        <w:t>Abstract</w:t>
      </w:r>
    </w:p>
    <w:p w14:paraId="36DBDBEE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[150–250 word abstract.]</w:t>
      </w:r>
    </w:p>
    <w:p w14:paraId="2B9112C7" w14:textId="77777777" w:rsidR="005D7BAF" w:rsidRDefault="00177863">
      <w:pPr>
        <w:spacing w:before="160" w:after="40"/>
      </w:pPr>
      <w:r>
        <w:rPr>
          <w:b/>
          <w:bCs/>
          <w:color w:val="1A2A5C"/>
        </w:rPr>
        <w:t>Keywords</w:t>
      </w:r>
    </w:p>
    <w:p w14:paraId="778A238C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[Four to six terms separated by semicolons.]</w:t>
      </w:r>
    </w:p>
    <w:p w14:paraId="0982A81A" w14:textId="77777777" w:rsidR="005D7BAF" w:rsidRDefault="00177863">
      <w:pPr>
        <w:pStyle w:val="Ttulo1"/>
        <w:keepNext/>
        <w:spacing w:before="300" w:after="140"/>
      </w:pPr>
      <w:r>
        <w:rPr>
          <w:b/>
          <w:bCs/>
          <w:color w:val="1A2A5C"/>
          <w:sz w:val="28"/>
          <w:szCs w:val="28"/>
        </w:rPr>
        <w:t>1.  Introducción</w:t>
      </w:r>
    </w:p>
    <w:p w14:paraId="747792D5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 xml:space="preserve">[Presente el objeto de estudio, el estado de la cuestión, la hipótesis o pregunta de investigación y la estructura del trabajo. Las referencias se citan en el texto por el sistema de nombre y fecha de la norma ISO 690 </w:t>
      </w:r>
      <w:r>
        <w:rPr>
          <w:color w:val="7A7A7A"/>
        </w:rPr>
        <w:t>(García Cárcel, 2017, p. 122)</w:t>
      </w:r>
      <w:r>
        <w:rPr>
          <w:i/>
          <w:iCs/>
          <w:color w:val="7A7A7A"/>
        </w:rPr>
        <w:t>, y las aclaraciones o comentarios accesorios se remiten a nota al pie</w:t>
      </w:r>
      <w:r>
        <w:rPr>
          <w:rStyle w:val="Refdenotaalpie"/>
        </w:rPr>
        <w:footnoteReference w:id="1"/>
      </w:r>
      <w:r>
        <w:rPr>
          <w:i/>
          <w:iCs/>
          <w:color w:val="7A7A7A"/>
        </w:rPr>
        <w:t>.]</w:t>
      </w:r>
    </w:p>
    <w:p w14:paraId="2A48E7B9" w14:textId="77777777" w:rsidR="005D7BAF" w:rsidRDefault="00177863">
      <w:pPr>
        <w:pStyle w:val="Ttulo1"/>
        <w:keepNext/>
        <w:spacing w:before="300" w:after="140"/>
      </w:pPr>
      <w:r>
        <w:rPr>
          <w:b/>
          <w:bCs/>
          <w:color w:val="1A2A5C"/>
          <w:sz w:val="28"/>
          <w:szCs w:val="28"/>
        </w:rPr>
        <w:t>2.  [Primer epígrafe]</w:t>
      </w:r>
    </w:p>
    <w:p w14:paraId="49EE5EE0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[Desarrollo. Numere los epígrafes de forma correlativa.]</w:t>
      </w:r>
    </w:p>
    <w:p w14:paraId="58BA99D4" w14:textId="77777777" w:rsidR="005D7BAF" w:rsidRDefault="00177863">
      <w:pPr>
        <w:pStyle w:val="Ttulo2"/>
        <w:keepNext/>
        <w:spacing w:before="180" w:after="100"/>
      </w:pPr>
      <w:r>
        <w:rPr>
          <w:b/>
          <w:bCs/>
          <w:color w:val="8A6D1F"/>
          <w:sz w:val="24"/>
          <w:szCs w:val="24"/>
        </w:rPr>
        <w:t>2.1. [Subepígrafe]</w:t>
      </w:r>
    </w:p>
    <w:p w14:paraId="09AC4DC9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[Utilice subepígrafes solo cuando aporten claridad. Tablas y figuras se numeran, se titulan y se citan en el texto, con indicación de la fuente.]</w:t>
      </w:r>
    </w:p>
    <w:p w14:paraId="3230BD7C" w14:textId="77777777" w:rsidR="005D7BAF" w:rsidRDefault="00177863">
      <w:pPr>
        <w:pStyle w:val="Ttulo1"/>
        <w:keepNext/>
        <w:spacing w:before="300" w:after="140"/>
      </w:pPr>
      <w:r>
        <w:rPr>
          <w:b/>
          <w:bCs/>
          <w:color w:val="1A2A5C"/>
          <w:sz w:val="28"/>
          <w:szCs w:val="28"/>
        </w:rPr>
        <w:lastRenderedPageBreak/>
        <w:t>3.  [Segundo epígrafe]</w:t>
      </w:r>
    </w:p>
    <w:p w14:paraId="12E210FF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[Continúe el desarrollo del trabajo.]</w:t>
      </w:r>
    </w:p>
    <w:p w14:paraId="05B2BD0A" w14:textId="77777777" w:rsidR="005D7BAF" w:rsidRDefault="00177863">
      <w:pPr>
        <w:pStyle w:val="Ttulo1"/>
        <w:keepNext/>
        <w:spacing w:before="300" w:after="140"/>
      </w:pPr>
      <w:r>
        <w:rPr>
          <w:b/>
          <w:bCs/>
          <w:color w:val="1A2A5C"/>
          <w:sz w:val="28"/>
          <w:szCs w:val="28"/>
        </w:rPr>
        <w:t>4.  Conclusiones</w:t>
      </w:r>
    </w:p>
    <w:p w14:paraId="350AD72A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[Sintetice los resultados y su aportación, sin introducir elementos nuevos.]</w:t>
      </w:r>
    </w:p>
    <w:p w14:paraId="7BED3860" w14:textId="77777777" w:rsidR="005D7BAF" w:rsidRDefault="00177863">
      <w:pPr>
        <w:pStyle w:val="Ttulo1"/>
        <w:keepNext/>
        <w:spacing w:before="300" w:after="140"/>
      </w:pPr>
      <w:r>
        <w:rPr>
          <w:b/>
          <w:bCs/>
          <w:color w:val="1A2A5C"/>
          <w:sz w:val="28"/>
          <w:szCs w:val="28"/>
        </w:rPr>
        <w:t>5.  Declaraciones</w:t>
      </w:r>
    </w:p>
    <w:p w14:paraId="5698BE13" w14:textId="77777777" w:rsidR="005D7BAF" w:rsidRDefault="00177863">
      <w:pPr>
        <w:spacing w:before="160" w:after="40"/>
      </w:pPr>
      <w:r>
        <w:rPr>
          <w:b/>
          <w:bCs/>
          <w:color w:val="1A2A5C"/>
        </w:rPr>
        <w:t>Contribución de autoría</w:t>
      </w:r>
    </w:p>
    <w:p w14:paraId="3CC0BAD7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[Aportación de cada autor conforme a la taxonomía CRediT.]</w:t>
      </w:r>
    </w:p>
    <w:p w14:paraId="48CC9F13" w14:textId="77777777" w:rsidR="005D7BAF" w:rsidRDefault="00177863">
      <w:pPr>
        <w:spacing w:before="160" w:after="40"/>
      </w:pPr>
      <w:r>
        <w:rPr>
          <w:b/>
          <w:bCs/>
          <w:color w:val="1A2A5C"/>
        </w:rPr>
        <w:t>Financiación</w:t>
      </w:r>
    </w:p>
    <w:p w14:paraId="6CFF74FD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[Proyecto o ayuda y su referencia, o «esta investigación no ha recibido financiación».]</w:t>
      </w:r>
    </w:p>
    <w:p w14:paraId="1F380CFE" w14:textId="77777777" w:rsidR="005D7BAF" w:rsidRDefault="00177863">
      <w:pPr>
        <w:spacing w:before="160" w:after="40"/>
      </w:pPr>
      <w:r>
        <w:rPr>
          <w:b/>
          <w:bCs/>
          <w:color w:val="1A2A5C"/>
        </w:rPr>
        <w:t>Conflictos de interés</w:t>
      </w:r>
    </w:p>
    <w:p w14:paraId="44572226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[Declaración, o «los autores declaran no tener conflictos de interés».]</w:t>
      </w:r>
    </w:p>
    <w:p w14:paraId="5DC5D648" w14:textId="77777777" w:rsidR="005D7BAF" w:rsidRDefault="00177863">
      <w:pPr>
        <w:spacing w:before="160" w:after="40"/>
      </w:pPr>
      <w:r>
        <w:rPr>
          <w:b/>
          <w:bCs/>
          <w:color w:val="1A2A5C"/>
        </w:rPr>
        <w:t>Disponibilidad de datos</w:t>
      </w:r>
    </w:p>
    <w:p w14:paraId="09BA7721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[Ubicación o enlace de los datos, o «no procede».]</w:t>
      </w:r>
    </w:p>
    <w:p w14:paraId="5178E0D7" w14:textId="77777777" w:rsidR="005D7BAF" w:rsidRDefault="00177863">
      <w:pPr>
        <w:spacing w:before="160" w:after="40"/>
      </w:pPr>
      <w:r>
        <w:rPr>
          <w:b/>
          <w:bCs/>
          <w:color w:val="1A2A5C"/>
        </w:rPr>
        <w:t>Uso de inteligencia artificial</w:t>
      </w:r>
    </w:p>
    <w:p w14:paraId="25566642" w14:textId="77777777" w:rsidR="005D7BAF" w:rsidRDefault="00177863">
      <w:pPr>
        <w:spacing w:after="140" w:line="276" w:lineRule="auto"/>
        <w:jc w:val="both"/>
      </w:pPr>
      <w:r>
        <w:rPr>
          <w:i/>
          <w:iCs/>
          <w:color w:val="7A7A7A"/>
        </w:rPr>
        <w:t>[Herramienta y finalidad, o «no se han utilizado herramientas de IA generativa».]</w:t>
      </w:r>
    </w:p>
    <w:p w14:paraId="7E9DB6C2" w14:textId="77777777" w:rsidR="005D7BAF" w:rsidRDefault="00177863">
      <w:pPr>
        <w:pStyle w:val="Ttulo1"/>
        <w:keepNext/>
        <w:spacing w:before="300" w:after="140"/>
      </w:pPr>
      <w:r>
        <w:rPr>
          <w:b/>
          <w:bCs/>
          <w:color w:val="1A2A5C"/>
          <w:sz w:val="28"/>
          <w:szCs w:val="28"/>
        </w:rPr>
        <w:t>6.  Bibliografía</w:t>
      </w:r>
    </w:p>
    <w:p w14:paraId="037926F1" w14:textId="77777777" w:rsidR="005D7BAF" w:rsidRDefault="00177863">
      <w:pPr>
        <w:spacing w:after="80" w:line="276" w:lineRule="auto"/>
        <w:jc w:val="both"/>
      </w:pPr>
      <w:r>
        <w:t>Incluya únicamente las obras citadas, ordenadas alfabéticamente, conforme a la norma ISO 690:</w:t>
      </w:r>
    </w:p>
    <w:p w14:paraId="59D7A5C5" w14:textId="77777777" w:rsidR="005D7BAF" w:rsidRDefault="00177863">
      <w:pPr>
        <w:spacing w:after="60" w:line="264" w:lineRule="auto"/>
        <w:ind w:left="460" w:hanging="260"/>
      </w:pPr>
      <w:r>
        <w:rPr>
          <w:sz w:val="21"/>
          <w:szCs w:val="21"/>
        </w:rPr>
        <w:t>GARCÍA CÁRCEL, Ricardo. La leyenda negra: historia y opinión. Madrid: Alianza Editorial, 2017. ISBN 978-84-9104-000-0.</w:t>
      </w:r>
    </w:p>
    <w:p w14:paraId="40FF5593" w14:textId="77777777" w:rsidR="005D7BAF" w:rsidRDefault="00177863">
      <w:pPr>
        <w:spacing w:after="60" w:line="264" w:lineRule="auto"/>
        <w:ind w:left="460" w:hanging="260"/>
      </w:pPr>
      <w:r>
        <w:rPr>
          <w:sz w:val="21"/>
          <w:szCs w:val="21"/>
        </w:rPr>
        <w:t>KAMEN, Henry. «El imperio y sus lenguas». En: ELLIOTT, John (ed.). Historia de la monarquía hispánica. Barcelona: Crítica, 2019, pp. 210-234.</w:t>
      </w:r>
    </w:p>
    <w:p w14:paraId="1E82CE88" w14:textId="77777777" w:rsidR="005D7BAF" w:rsidRDefault="00177863">
      <w:pPr>
        <w:spacing w:after="60" w:line="264" w:lineRule="auto"/>
        <w:ind w:left="460" w:hanging="260"/>
      </w:pPr>
      <w:r>
        <w:rPr>
          <w:sz w:val="21"/>
          <w:szCs w:val="21"/>
        </w:rPr>
        <w:t>YUN CASALILLA, Bartolomé. «Economía política del patrimonio». Revista de Historia Económica. 2020, vol. 38, n.º 2, pp. 201-229. ISSN 0212-6109. Disponible en: https://doi.org/10.xxxx/xxxx.</w:t>
      </w:r>
    </w:p>
    <w:sectPr w:rsidR="005D7BA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5EC11" w14:textId="77777777" w:rsidR="00177863" w:rsidRDefault="00177863">
      <w:r>
        <w:separator/>
      </w:r>
    </w:p>
  </w:endnote>
  <w:endnote w:type="continuationSeparator" w:id="0">
    <w:p w14:paraId="32B59369" w14:textId="77777777" w:rsidR="00177863" w:rsidRDefault="0017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0E09B" w14:textId="77777777" w:rsidR="005D7BAF" w:rsidRDefault="00177863">
    <w:pPr>
      <w:pBdr>
        <w:top w:val="single" w:sz="4" w:space="4" w:color="CCCCCC"/>
      </w:pBdr>
      <w:jc w:val="center"/>
    </w:pPr>
    <w:r>
      <w:rPr>
        <w:color w:val="888888"/>
        <w:sz w:val="18"/>
        <w:szCs w:val="18"/>
      </w:rPr>
      <w:t xml:space="preserve">Página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963984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  <w:r>
      <w:rPr>
        <w:color w:val="888888"/>
        <w:sz w:val="18"/>
        <w:szCs w:val="18"/>
      </w:rPr>
      <w:t xml:space="preserve"> de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NUMPAGES</w:instrText>
    </w:r>
    <w:r>
      <w:rPr>
        <w:color w:val="888888"/>
        <w:sz w:val="18"/>
        <w:szCs w:val="18"/>
      </w:rPr>
      <w:fldChar w:fldCharType="separate"/>
    </w:r>
    <w:r w:rsidR="00963984">
      <w:rPr>
        <w:noProof/>
        <w:color w:val="888888"/>
        <w:sz w:val="18"/>
        <w:szCs w:val="18"/>
      </w:rPr>
      <w:t>2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D22B" w14:textId="77777777" w:rsidR="00177863" w:rsidRDefault="00177863">
      <w:r>
        <w:separator/>
      </w:r>
    </w:p>
  </w:footnote>
  <w:footnote w:type="continuationSeparator" w:id="0">
    <w:p w14:paraId="7DF49416" w14:textId="77777777" w:rsidR="00177863" w:rsidRDefault="00177863">
      <w:r>
        <w:continuationSeparator/>
      </w:r>
    </w:p>
  </w:footnote>
  <w:footnote w:id="1">
    <w:p w14:paraId="14C91925" w14:textId="77777777" w:rsidR="005D7BAF" w:rsidRDefault="00177863">
      <w:pPr>
        <w:jc w:val="both"/>
      </w:pPr>
      <w:r>
        <w:rPr>
          <w:rStyle w:val="Refdenotaalpie"/>
        </w:rPr>
        <w:footnoteRef/>
      </w:r>
      <w:r>
        <w:rPr>
          <w:i/>
          <w:iCs/>
          <w:color w:val="7A7A7A"/>
          <w:sz w:val="19"/>
          <w:szCs w:val="19"/>
        </w:rPr>
        <w:t>Ejemplo de nota al pie. Las notas son aclaratorias y se numeran de forma automática y correlativa; el texto va justificado, en cuerpo menor que el del artículo.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AD546" w14:textId="77777777" w:rsidR="005D7BAF" w:rsidRDefault="00177863">
    <w:pPr>
      <w:pBdr>
        <w:bottom w:val="single" w:sz="4" w:space="4" w:color="CCCCCC"/>
      </w:pBdr>
      <w:jc w:val="right"/>
    </w:pPr>
    <w:r>
      <w:rPr>
        <w:i/>
        <w:iCs/>
        <w:color w:val="888888"/>
        <w:sz w:val="16"/>
        <w:szCs w:val="16"/>
      </w:rPr>
      <w:t>Horizontes Culturales Hispánicos · Plantilla de artículo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AFC"/>
    <w:multiLevelType w:val="hybridMultilevel"/>
    <w:tmpl w:val="FD426856"/>
    <w:lvl w:ilvl="0" w:tplc="14D23BAA">
      <w:start w:val="1"/>
      <w:numFmt w:val="bullet"/>
      <w:lvlText w:val="●"/>
      <w:lvlJc w:val="left"/>
      <w:pPr>
        <w:ind w:left="720" w:hanging="360"/>
      </w:pPr>
    </w:lvl>
    <w:lvl w:ilvl="1" w:tplc="3C1EA506">
      <w:start w:val="1"/>
      <w:numFmt w:val="bullet"/>
      <w:lvlText w:val="○"/>
      <w:lvlJc w:val="left"/>
      <w:pPr>
        <w:ind w:left="1440" w:hanging="360"/>
      </w:pPr>
    </w:lvl>
    <w:lvl w:ilvl="2" w:tplc="42FA042C">
      <w:start w:val="1"/>
      <w:numFmt w:val="bullet"/>
      <w:lvlText w:val="■"/>
      <w:lvlJc w:val="left"/>
      <w:pPr>
        <w:ind w:left="2160" w:hanging="360"/>
      </w:pPr>
    </w:lvl>
    <w:lvl w:ilvl="3" w:tplc="55366E32">
      <w:start w:val="1"/>
      <w:numFmt w:val="bullet"/>
      <w:lvlText w:val="●"/>
      <w:lvlJc w:val="left"/>
      <w:pPr>
        <w:ind w:left="2880" w:hanging="360"/>
      </w:pPr>
    </w:lvl>
    <w:lvl w:ilvl="4" w:tplc="06321F76">
      <w:start w:val="1"/>
      <w:numFmt w:val="bullet"/>
      <w:lvlText w:val="○"/>
      <w:lvlJc w:val="left"/>
      <w:pPr>
        <w:ind w:left="3600" w:hanging="360"/>
      </w:pPr>
    </w:lvl>
    <w:lvl w:ilvl="5" w:tplc="7A62741E">
      <w:start w:val="1"/>
      <w:numFmt w:val="bullet"/>
      <w:lvlText w:val="■"/>
      <w:lvlJc w:val="left"/>
      <w:pPr>
        <w:ind w:left="4320" w:hanging="360"/>
      </w:pPr>
    </w:lvl>
    <w:lvl w:ilvl="6" w:tplc="349A58A8">
      <w:start w:val="1"/>
      <w:numFmt w:val="bullet"/>
      <w:lvlText w:val="●"/>
      <w:lvlJc w:val="left"/>
      <w:pPr>
        <w:ind w:left="5040" w:hanging="360"/>
      </w:pPr>
    </w:lvl>
    <w:lvl w:ilvl="7" w:tplc="89DE8192">
      <w:start w:val="1"/>
      <w:numFmt w:val="bullet"/>
      <w:lvlText w:val="●"/>
      <w:lvlJc w:val="left"/>
      <w:pPr>
        <w:ind w:left="5760" w:hanging="360"/>
      </w:pPr>
    </w:lvl>
    <w:lvl w:ilvl="8" w:tplc="525CF82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BCF0E89"/>
    <w:multiLevelType w:val="hybridMultilevel"/>
    <w:tmpl w:val="ADB6CF0E"/>
    <w:lvl w:ilvl="0" w:tplc="C10463A6">
      <w:start w:val="1"/>
      <w:numFmt w:val="bullet"/>
      <w:lvlText w:val="•"/>
      <w:lvlJc w:val="left"/>
      <w:pPr>
        <w:ind w:left="460" w:hanging="260"/>
      </w:pPr>
    </w:lvl>
    <w:lvl w:ilvl="1" w:tplc="754EC3B8">
      <w:start w:val="1"/>
      <w:numFmt w:val="bullet"/>
      <w:lvlText w:val="–"/>
      <w:lvlJc w:val="left"/>
      <w:pPr>
        <w:ind w:left="920" w:hanging="260"/>
      </w:pPr>
    </w:lvl>
    <w:lvl w:ilvl="2" w:tplc="F82C797C">
      <w:numFmt w:val="decimal"/>
      <w:lvlText w:val=""/>
      <w:lvlJc w:val="left"/>
    </w:lvl>
    <w:lvl w:ilvl="3" w:tplc="0D6439D2">
      <w:numFmt w:val="decimal"/>
      <w:lvlText w:val=""/>
      <w:lvlJc w:val="left"/>
    </w:lvl>
    <w:lvl w:ilvl="4" w:tplc="AB043A78">
      <w:numFmt w:val="decimal"/>
      <w:lvlText w:val=""/>
      <w:lvlJc w:val="left"/>
    </w:lvl>
    <w:lvl w:ilvl="5" w:tplc="7BB2F03E">
      <w:numFmt w:val="decimal"/>
      <w:lvlText w:val=""/>
      <w:lvlJc w:val="left"/>
    </w:lvl>
    <w:lvl w:ilvl="6" w:tplc="016A98D2">
      <w:numFmt w:val="decimal"/>
      <w:lvlText w:val=""/>
      <w:lvlJc w:val="left"/>
    </w:lvl>
    <w:lvl w:ilvl="7" w:tplc="5D90C30E">
      <w:numFmt w:val="decimal"/>
      <w:lvlText w:val=""/>
      <w:lvlJc w:val="left"/>
    </w:lvl>
    <w:lvl w:ilvl="8" w:tplc="A31AA3BC">
      <w:numFmt w:val="decimal"/>
      <w:lvlText w:val=""/>
      <w:lvlJc w:val="left"/>
    </w:lvl>
  </w:abstractNum>
  <w:num w:numId="1" w16cid:durableId="7099178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BAF"/>
    <w:rsid w:val="00177863"/>
    <w:rsid w:val="005D7BAF"/>
    <w:rsid w:val="00963984"/>
    <w:rsid w:val="00C5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3626F"/>
  <w15:docId w15:val="{CA1FACE9-1431-4AE1-8BDD-C93C0B95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sz w:val="23"/>
        <w:szCs w:val="23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artículo</dc:title>
  <dc:creator>Cátedra para la Promoción Internacional de la Cultura Hispánica (URJC)</dc:creator>
  <cp:lastModifiedBy>Morris Eidelman</cp:lastModifiedBy>
  <cp:revision>2</cp:revision>
  <dcterms:created xsi:type="dcterms:W3CDTF">2026-09-22T11:05:00Z</dcterms:created>
  <dcterms:modified xsi:type="dcterms:W3CDTF">2026-09-22T11:05:00Z</dcterms:modified>
</cp:coreProperties>
</file>