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aramond" w:cs="Garamond" w:eastAsia="Garamond" w:hAnsi="Garamond"/>
          <w:b/>
          <w:bCs/>
          <w:color w:val="8A6D1F"/>
          <w:sz w:val="19"/>
          <w:szCs w:val="19"/>
        </w:rPr>
        <w:t xml:space="preserve">CÁTEDRA PARA LA PROMOCIÓN INTERNACIONAL DE LA CULTURA HISPÁNICA</w:t>
      </w:r>
    </w:p>
    <w:p>
      <w:pPr>
        <w:pBdr>
          <w:bottom w:val="single" w:color="8A6D1F" w:sz="6" w:space="8"/>
        </w:pBdr>
        <w:spacing w:after="220"/>
        <w:jc w:val="center"/>
      </w:pPr>
      <w:r>
        <w:rPr>
          <w:rFonts w:ascii="Garamond" w:cs="Garamond" w:eastAsia="Garamond" w:hAnsi="Garamond"/>
          <w:i/>
          <w:iCs/>
          <w:color w:val="1A2A5C"/>
          <w:sz w:val="19"/>
          <w:szCs w:val="19"/>
        </w:rPr>
        <w:t xml:space="preserve">Universidad Rey Juan Carlos</w:t>
      </w:r>
    </w:p>
    <w:p>
      <w:pPr>
        <w:spacing w:after="50" w:before="100"/>
        <w:jc w:val="center"/>
      </w:pPr>
      <w:r>
        <w:rPr>
          <w:rFonts w:ascii="Garamond" w:cs="Garamond" w:eastAsia="Garamond" w:hAnsi="Garamond"/>
          <w:b/>
          <w:bCs/>
          <w:color w:val="1A2A5C"/>
          <w:sz w:val="26"/>
          <w:szCs w:val="26"/>
        </w:rPr>
        <w:t xml:space="preserve">HORIZONTES CULTURALES HISPÁNICOS</w:t>
      </w:r>
    </w:p>
    <w:p>
      <w:pPr>
        <w:spacing w:after="50"/>
        <w:jc w:val="center"/>
      </w:pPr>
      <w:r>
        <w:rPr>
          <w:rFonts w:ascii="Garamond" w:cs="Garamond" w:eastAsia="Garamond" w:hAnsi="Garamond"/>
          <w:b/>
          <w:bCs/>
          <w:color w:val="1A2A5C"/>
          <w:sz w:val="30"/>
          <w:szCs w:val="30"/>
        </w:rPr>
        <w:t xml:space="preserve">Call for papers</w:t>
      </w:r>
    </w:p>
    <w:p>
      <w:pPr>
        <w:pBdr>
          <w:bottom w:val="single" w:color="8A6D1F" w:sz="6" w:space="8"/>
        </w:pBdr>
        <w:spacing w:after="240"/>
        <w:jc w:val="center"/>
      </w:pPr>
      <w:r>
        <w:rPr>
          <w:rFonts w:ascii="Garamond" w:cs="Garamond" w:eastAsia="Garamond" w:hAnsi="Garamond"/>
          <w:i/>
          <w:iCs/>
          <w:color w:val="444444"/>
          <w:sz w:val="20"/>
          <w:szCs w:val="20"/>
        </w:rPr>
        <w:t xml:space="preserve">Convocatoria de originales · Volumen 1 (2027)</w:t>
      </w:r>
    </w:p>
    <w:p>
      <w:pPr>
        <w:spacing w:after="220"/>
        <w:jc w:val="center"/>
      </w:pPr>
      <w:r>
        <w:rPr>
          <w:rFonts w:ascii="Garamond" w:cs="Garamond" w:eastAsia="Garamond" w:hAnsi="Garamond"/>
          <w:color w:val="444444"/>
          <w:sz w:val="21"/>
          <w:szCs w:val="21"/>
        </w:rPr>
        <w:t xml:space="preserve">Documento de trabajo  ·  Versión 1.4  ·  6 de octubre de 2026</w:t>
      </w:r>
    </w:p>
    <w:p>
      <w:pPr>
        <w:spacing w:after="140" w:before="0" w:line="276" w:lineRule="auto"/>
        <w:jc w:val="both"/>
      </w:pPr>
      <w:r>
        <w:rPr>
          <w:rFonts w:ascii="Garamond" w:cs="Garamond" w:eastAsia="Garamond" w:hAnsi="Garamond"/>
          <w:i/>
          <w:iCs/>
          <w:sz w:val="23"/>
          <w:szCs w:val="23"/>
        </w:rPr>
        <w:t xml:space="preserve">Horizontes Culturales Hispánicos</w:t>
      </w:r>
      <w:r>
        <w:rPr>
          <w:rFonts w:ascii="Garamond" w:cs="Garamond" w:eastAsia="Garamond" w:hAnsi="Garamond"/>
          <w:sz w:val="23"/>
          <w:szCs w:val="23"/>
        </w:rPr>
        <w:t xml:space="preserve">, revista científica internacional de acceso abierto y periodicidad anual de la Cátedra para la Promoción Internacional de la Cultura Hispánica (Universidad Rey Juan Carlos), editada en colaboración con Editorial Dykinson, abre la convocatoria de originales para su número inaugural. Se invita a investigadores, académicos y especialistas a remitir trabajos originales e inéditos sobre el mundo hispánico en sus dimensiones histórica, cultural, social, económica, jurídica e institucional.</w:t>
      </w:r>
    </w:p>
    <w:p>
      <w:pPr>
        <w:pStyle w:val="Heading1"/>
        <w:keepNext/>
        <w:spacing w:after="140" w:before="300"/>
      </w:pPr>
      <w:r>
        <w:rPr>
          <w:rFonts w:ascii="Garamond" w:cs="Garamond" w:eastAsia="Garamond" w:hAnsi="Garamond"/>
          <w:b/>
          <w:bCs/>
          <w:color w:val="1A2A5C"/>
          <w:sz w:val="28"/>
          <w:szCs w:val="28"/>
        </w:rPr>
        <w:t xml:space="preserve">1.  Dossier monográfico</w:t>
      </w:r>
    </w:p>
    <w:p>
      <w:pPr>
        <w:pBdr>
          <w:top w:val="single" w:color="8A6D1F" w:sz="4" w:space="6"/>
          <w:bottom w:val="single" w:color="8A6D1F" w:sz="4" w:space="6"/>
          <w:left w:val="single" w:color="8A6D1F" w:sz="4" w:space="10"/>
          <w:right w:val="single" w:color="8A6D1F" w:sz="4" w:space="10"/>
        </w:pBdr>
        <w:shd w:fill="F3F1E9" w:val="clear"/>
        <w:spacing w:after="80" w:before="40" w:line="276" w:lineRule="auto"/>
        <w:jc w:val="both"/>
      </w:pPr>
      <w:r>
        <w:rPr>
          <w:rFonts w:ascii="Garamond" w:cs="Garamond" w:eastAsia="Garamond" w:hAnsi="Garamond"/>
          <w:b/>
          <w:bCs/>
          <w:color w:val="1A2A5C"/>
          <w:sz w:val="23"/>
          <w:szCs w:val="23"/>
        </w:rPr>
        <w:t xml:space="preserve">Tema propuesto para el Vol. 1: </w:t>
      </w:r>
      <w:r>
        <w:rPr>
          <w:rFonts w:ascii="Garamond" w:cs="Garamond" w:eastAsia="Garamond" w:hAnsi="Garamond"/>
          <w:b/>
          <w:bCs/>
          <w:i/>
          <w:iCs/>
          <w:sz w:val="23"/>
          <w:szCs w:val="23"/>
        </w:rPr>
        <w:t xml:space="preserve">«El legado hispánico en los Estados Unidos de América: historia, cultura y economía». </w:t>
      </w:r>
      <w:r>
        <w:rPr>
          <w:rFonts w:ascii="Garamond" w:cs="Garamond" w:eastAsia="Garamond" w:hAnsi="Garamond"/>
          <w:i/>
          <w:iCs/>
          <w:color w:val="7A7A7A"/>
          <w:sz w:val="23"/>
          <w:szCs w:val="23"/>
        </w:rPr>
        <w:t xml:space="preserve">[Tema a confirmar por la Dirección.]</w:t>
      </w:r>
    </w:p>
    <w:p>
      <w:pPr>
        <w:spacing w:after="140" w:before="0" w:line="276" w:lineRule="auto"/>
        <w:jc w:val="both"/>
      </w:pPr>
      <w:r>
        <w:rPr>
          <w:rFonts w:ascii="Garamond" w:cs="Garamond" w:eastAsia="Garamond" w:hAnsi="Garamond"/>
          <w:sz w:val="23"/>
          <w:szCs w:val="23"/>
        </w:rPr>
        <w:t xml:space="preserve">El monográfico toma como ocasión el 250.º aniversario de la independencia de los Estados Unidos y se alinea con el seminario permanente de la Cátedra dedicado a la herencia de España en Norteamérica. Se busca reunir contribuciones que, desde las humanidades, las ciencias sociales y la economía, iluminen la profundidad y la vigencia de esa huella hispánica.</w:t>
      </w:r>
    </w:p>
    <w:p>
      <w:pPr>
        <w:pStyle w:val="Heading2"/>
        <w:keepNext/>
        <w:spacing w:after="100" w:before="180"/>
      </w:pPr>
      <w:r>
        <w:rPr>
          <w:rFonts w:ascii="Garamond" w:cs="Garamond" w:eastAsia="Garamond" w:hAnsi="Garamond"/>
          <w:b/>
          <w:bCs/>
          <w:color w:val="8A6D1F"/>
          <w:sz w:val="24"/>
          <w:szCs w:val="24"/>
        </w:rPr>
        <w:t xml:space="preserve">Ejes orientativos</w:t>
      </w:r>
    </w:p>
    <w:p>
      <w:pPr>
        <w:pStyle w:val="ListParagraph"/>
        <w:numPr>
          <w:ilvl w:val="0"/>
          <w:numId w:val="2"/>
        </w:numPr>
        <w:spacing w:after="70" w:line="276" w:lineRule="auto"/>
        <w:jc w:val="both"/>
      </w:pPr>
      <w:r>
        <w:rPr>
          <w:rFonts w:ascii="Garamond" w:cs="Garamond" w:eastAsia="Garamond" w:hAnsi="Garamond"/>
          <w:sz w:val="23"/>
          <w:szCs w:val="23"/>
        </w:rPr>
        <w:t xml:space="preserve">Exploración, presencia e instituciones españolas en Norteamérica.</w:t>
      </w:r>
    </w:p>
    <w:p>
      <w:pPr>
        <w:pStyle w:val="ListParagraph"/>
        <w:numPr>
          <w:ilvl w:val="0"/>
          <w:numId w:val="2"/>
        </w:numPr>
        <w:spacing w:after="70" w:line="276" w:lineRule="auto"/>
        <w:jc w:val="both"/>
      </w:pPr>
      <w:r>
        <w:rPr>
          <w:rFonts w:ascii="Garamond" w:cs="Garamond" w:eastAsia="Garamond" w:hAnsi="Garamond"/>
          <w:sz w:val="23"/>
          <w:szCs w:val="23"/>
        </w:rPr>
        <w:t xml:space="preserve">Derecho, tratados y fronteras: de las Capitulaciones al Tratado Adams-Onís.</w:t>
      </w:r>
    </w:p>
    <w:p>
      <w:pPr>
        <w:pStyle w:val="ListParagraph"/>
        <w:numPr>
          <w:ilvl w:val="0"/>
          <w:numId w:val="2"/>
        </w:numPr>
        <w:spacing w:after="70" w:line="276" w:lineRule="auto"/>
        <w:jc w:val="both"/>
      </w:pPr>
      <w:r>
        <w:rPr>
          <w:rFonts w:ascii="Garamond" w:cs="Garamond" w:eastAsia="Garamond" w:hAnsi="Garamond"/>
          <w:sz w:val="23"/>
          <w:szCs w:val="23"/>
        </w:rPr>
        <w:t xml:space="preserve">La contribución de España a la independencia de los Estados Unidos.</w:t>
      </w:r>
    </w:p>
    <w:p>
      <w:pPr>
        <w:pStyle w:val="ListParagraph"/>
        <w:numPr>
          <w:ilvl w:val="0"/>
          <w:numId w:val="2"/>
        </w:numPr>
        <w:spacing w:after="70" w:line="276" w:lineRule="auto"/>
        <w:jc w:val="both"/>
      </w:pPr>
      <w:r>
        <w:rPr>
          <w:rFonts w:ascii="Garamond" w:cs="Garamond" w:eastAsia="Garamond" w:hAnsi="Garamond"/>
          <w:sz w:val="23"/>
          <w:szCs w:val="23"/>
        </w:rPr>
        <w:t xml:space="preserve">Lengua española, identidad e comunidades hispanas en los Estados Unidos.</w:t>
      </w:r>
    </w:p>
    <w:p>
      <w:pPr>
        <w:pStyle w:val="ListParagraph"/>
        <w:numPr>
          <w:ilvl w:val="0"/>
          <w:numId w:val="2"/>
        </w:numPr>
        <w:spacing w:after="70" w:line="276" w:lineRule="auto"/>
        <w:jc w:val="both"/>
      </w:pPr>
      <w:r>
        <w:rPr>
          <w:rFonts w:ascii="Garamond" w:cs="Garamond" w:eastAsia="Garamond" w:hAnsi="Garamond"/>
          <w:sz w:val="23"/>
          <w:szCs w:val="23"/>
        </w:rPr>
        <w:t xml:space="preserve">Economía, comercio y finanzas en el espacio atlántico hispánico.</w:t>
      </w:r>
    </w:p>
    <w:p>
      <w:pPr>
        <w:pStyle w:val="ListParagraph"/>
        <w:numPr>
          <w:ilvl w:val="0"/>
          <w:numId w:val="2"/>
        </w:numPr>
        <w:spacing w:after="70" w:line="276" w:lineRule="auto"/>
        <w:jc w:val="both"/>
      </w:pPr>
      <w:r>
        <w:rPr>
          <w:rFonts w:ascii="Garamond" w:cs="Garamond" w:eastAsia="Garamond" w:hAnsi="Garamond"/>
          <w:sz w:val="23"/>
          <w:szCs w:val="23"/>
        </w:rPr>
        <w:t xml:space="preserve">Patrimonio, memoria y proyección cultural del legado español.</w:t>
      </w:r>
    </w:p>
    <w:p>
      <w:pPr>
        <w:pStyle w:val="Heading1"/>
        <w:keepNext/>
        <w:spacing w:after="140" w:before="300"/>
      </w:pPr>
      <w:r>
        <w:rPr>
          <w:rFonts w:ascii="Garamond" w:cs="Garamond" w:eastAsia="Garamond" w:hAnsi="Garamond"/>
          <w:b/>
          <w:bCs/>
          <w:color w:val="1A2A5C"/>
          <w:sz w:val="28"/>
          <w:szCs w:val="28"/>
        </w:rPr>
        <w:t xml:space="preserve">2.  Secciones abiertas</w:t>
      </w:r>
    </w:p>
    <w:p>
      <w:pPr>
        <w:spacing w:after="140" w:before="0" w:line="276" w:lineRule="auto"/>
        <w:jc w:val="both"/>
      </w:pPr>
      <w:r>
        <w:rPr>
          <w:rFonts w:ascii="Garamond" w:cs="Garamond" w:eastAsia="Garamond" w:hAnsi="Garamond"/>
          <w:sz w:val="23"/>
          <w:szCs w:val="23"/>
        </w:rPr>
        <w:t xml:space="preserve">Con independencia del dossier, permanece abierta la recepción de trabajos para las secciones ordinarias:</w:t>
      </w:r>
    </w:p>
    <w:p>
      <w:pPr>
        <w:pStyle w:val="ListParagraph"/>
        <w:numPr>
          <w:ilvl w:val="0"/>
          <w:numId w:val="2"/>
        </w:numPr>
        <w:spacing w:after="70" w:line="276" w:lineRule="auto"/>
        <w:jc w:val="both"/>
      </w:pPr>
      <w:r>
        <w:rPr>
          <w:rFonts w:ascii="Garamond" w:cs="Garamond" w:eastAsia="Garamond" w:hAnsi="Garamond"/>
          <w:b/>
          <w:bCs/>
          <w:sz w:val="23"/>
          <w:szCs w:val="23"/>
        </w:rPr>
        <w:t xml:space="preserve">Estudios y artículos. </w:t>
      </w:r>
      <w:r>
        <w:rPr>
          <w:rFonts w:ascii="Garamond" w:cs="Garamond" w:eastAsia="Garamond" w:hAnsi="Garamond"/>
          <w:sz w:val="23"/>
          <w:szCs w:val="23"/>
        </w:rPr>
        <w:t xml:space="preserve">Investigaciones originales de temática libre dentro del alcance de la revista.</w:t>
      </w:r>
    </w:p>
    <w:p>
      <w:pPr>
        <w:pStyle w:val="ListParagraph"/>
        <w:numPr>
          <w:ilvl w:val="0"/>
          <w:numId w:val="2"/>
        </w:numPr>
        <w:spacing w:after="70" w:line="276" w:lineRule="auto"/>
        <w:jc w:val="both"/>
      </w:pPr>
      <w:r>
        <w:rPr>
          <w:rFonts w:ascii="Garamond" w:cs="Garamond" w:eastAsia="Garamond" w:hAnsi="Garamond"/>
          <w:b/>
          <w:bCs/>
          <w:sz w:val="23"/>
          <w:szCs w:val="23"/>
        </w:rPr>
        <w:t xml:space="preserve">Reseñas bibliográficas. </w:t>
      </w:r>
      <w:r>
        <w:rPr>
          <w:rFonts w:ascii="Garamond" w:cs="Garamond" w:eastAsia="Garamond" w:hAnsi="Garamond"/>
          <w:sz w:val="23"/>
          <w:szCs w:val="23"/>
        </w:rPr>
        <w:t xml:space="preserve">Análisis de novedades, ediciones críticas y recursos de interés.</w:t>
      </w:r>
    </w:p>
    <w:p>
      <w:pPr>
        <w:pStyle w:val="Heading1"/>
        <w:keepNext/>
        <w:spacing w:after="140" w:before="300"/>
      </w:pPr>
      <w:r>
        <w:rPr>
          <w:rFonts w:ascii="Garamond" w:cs="Garamond" w:eastAsia="Garamond" w:hAnsi="Garamond"/>
          <w:b/>
          <w:bCs/>
          <w:color w:val="1A2A5C"/>
          <w:sz w:val="28"/>
          <w:szCs w:val="28"/>
        </w:rPr>
        <w:t xml:space="preserve">3.  Requisitos de envío</w:t>
      </w:r>
    </w:p>
    <w:p>
      <w:pPr>
        <w:pStyle w:val="ListParagraph"/>
        <w:numPr>
          <w:ilvl w:val="0"/>
          <w:numId w:val="2"/>
        </w:numPr>
        <w:spacing w:after="70" w:line="276" w:lineRule="auto"/>
        <w:jc w:val="both"/>
      </w:pPr>
      <w:r>
        <w:rPr>
          <w:rFonts w:ascii="Garamond" w:cs="Garamond" w:eastAsia="Garamond" w:hAnsi="Garamond"/>
          <w:sz w:val="23"/>
          <w:szCs w:val="23"/>
        </w:rPr>
        <w:t xml:space="preserve">Trabajos originales e inéditos, no sometidos simultáneamente a otra publicación.</w:t>
      </w:r>
    </w:p>
    <w:p>
      <w:pPr>
        <w:pStyle w:val="ListParagraph"/>
        <w:numPr>
          <w:ilvl w:val="0"/>
          <w:numId w:val="2"/>
        </w:numPr>
        <w:spacing w:after="70" w:line="276" w:lineRule="auto"/>
        <w:jc w:val="both"/>
      </w:pPr>
      <w:r>
        <w:rPr>
          <w:rFonts w:ascii="Garamond" w:cs="Garamond" w:eastAsia="Garamond" w:hAnsi="Garamond"/>
          <w:sz w:val="23"/>
          <w:szCs w:val="23"/>
        </w:rPr>
        <w:t xml:space="preserve">Lenguas admitidas: español, inglés y portugués.</w:t>
      </w:r>
    </w:p>
    <w:p>
      <w:pPr>
        <w:pStyle w:val="ListParagraph"/>
        <w:numPr>
          <w:ilvl w:val="0"/>
          <w:numId w:val="2"/>
        </w:numPr>
        <w:spacing w:after="70" w:line="276" w:lineRule="auto"/>
        <w:jc w:val="both"/>
      </w:pPr>
      <w:r>
        <w:rPr>
          <w:rFonts w:ascii="Garamond" w:cs="Garamond" w:eastAsia="Garamond" w:hAnsi="Garamond"/>
          <w:sz w:val="23"/>
          <w:szCs w:val="23"/>
        </w:rPr>
        <w:t xml:space="preserve">Extensión y estilo conforme a las Normas para autores; citas y referencias según la norma ISO 690.</w:t>
      </w:r>
    </w:p>
    <w:p>
      <w:pPr>
        <w:pStyle w:val="ListParagraph"/>
        <w:numPr>
          <w:ilvl w:val="0"/>
          <w:numId w:val="2"/>
        </w:numPr>
        <w:spacing w:after="70" w:line="276" w:lineRule="auto"/>
        <w:jc w:val="both"/>
      </w:pPr>
      <w:r>
        <w:rPr>
          <w:rFonts w:ascii="Garamond" w:cs="Garamond" w:eastAsia="Garamond" w:hAnsi="Garamond"/>
          <w:sz w:val="23"/>
          <w:szCs w:val="23"/>
        </w:rPr>
        <w:t xml:space="preserve">Manuscrito anonimizado para la evaluación por pares en doble ciego, con archivo de datos del autor aparte.</w:t>
      </w:r>
    </w:p>
    <w:p>
      <w:pPr>
        <w:pStyle w:val="ListParagraph"/>
        <w:numPr>
          <w:ilvl w:val="0"/>
          <w:numId w:val="2"/>
        </w:numPr>
        <w:spacing w:after="70" w:line="276" w:lineRule="auto"/>
        <w:jc w:val="both"/>
      </w:pPr>
      <w:r>
        <w:rPr>
          <w:rFonts w:ascii="Garamond" w:cs="Garamond" w:eastAsia="Garamond" w:hAnsi="Garamond"/>
          <w:sz w:val="23"/>
          <w:szCs w:val="23"/>
        </w:rPr>
        <w:t xml:space="preserve">Declaraciones de contribución de autoría (CRediT), financiación, conflictos de interés, disponibilidad de datos y uso de inteligencia artificial generativa.</w:t>
      </w:r>
    </w:p>
    <w:p>
      <w:pPr>
        <w:pStyle w:val="ListParagraph"/>
        <w:numPr>
          <w:ilvl w:val="0"/>
          <w:numId w:val="2"/>
        </w:numPr>
        <w:spacing w:after="70" w:line="276" w:lineRule="auto"/>
        <w:jc w:val="both"/>
      </w:pPr>
      <w:r>
        <w:rPr>
          <w:rFonts w:ascii="Garamond" w:cs="Garamond" w:eastAsia="Garamond" w:hAnsi="Garamond"/>
          <w:sz w:val="23"/>
          <w:szCs w:val="23"/>
        </w:rPr>
        <w:t xml:space="preserve">Envío exclusivamente a través de la plataforma editorial (OJS) de la revista.</w:t>
      </w:r>
    </w:p>
    <w:p>
      <w:pPr>
        <w:pStyle w:val="Heading1"/>
        <w:keepNext/>
        <w:spacing w:after="140" w:before="300"/>
      </w:pPr>
      <w:r>
        <w:rPr>
          <w:rFonts w:ascii="Garamond" w:cs="Garamond" w:eastAsia="Garamond" w:hAnsi="Garamond"/>
          <w:b/>
          <w:bCs/>
          <w:color w:val="1A2A5C"/>
          <w:sz w:val="28"/>
          <w:szCs w:val="28"/>
        </w:rPr>
        <w:t xml:space="preserve">4.  Calendario</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6"/>
        <w:gridCol w:w="4200"/>
      </w:tblGrid>
      <w:tr>
        <w:trPr>
          <w:tblHeader/>
        </w:trPr>
        <w:tc>
          <w:tcPr>
            <w:tcW w:type="dxa" w:w="4826"/>
            <w:shd w:fill="1A2A5C" w:val="clear"/>
            <w:tcMar>
              <w:top w:type="dxa" w:w="60"/>
              <w:left w:type="dxa" w:w="100"/>
              <w:bottom w:type="dxa" w:w="60"/>
              <w:right w:type="dxa" w:w="100"/>
            </w:tcMar>
          </w:tcPr>
          <w:p>
            <w:pPr>
              <w:spacing w:after="0" w:line="252" w:lineRule="auto"/>
              <w:jc w:val="left"/>
            </w:pPr>
            <w:r>
              <w:rPr>
                <w:rFonts w:ascii="Garamond" w:cs="Garamond" w:eastAsia="Garamond" w:hAnsi="Garamond"/>
                <w:b/>
                <w:bCs/>
                <w:color w:val="FFFFFF"/>
                <w:sz w:val="21"/>
                <w:szCs w:val="21"/>
              </w:rPr>
              <w:t xml:space="preserve">Hito</w:t>
            </w:r>
          </w:p>
        </w:tc>
        <w:tc>
          <w:tcPr>
            <w:tcW w:type="dxa" w:w="4200"/>
            <w:shd w:fill="1A2A5C" w:val="clear"/>
            <w:tcMar>
              <w:top w:type="dxa" w:w="60"/>
              <w:left w:type="dxa" w:w="100"/>
              <w:bottom w:type="dxa" w:w="60"/>
              <w:right w:type="dxa" w:w="100"/>
            </w:tcMar>
          </w:tcPr>
          <w:p>
            <w:pPr>
              <w:spacing w:after="0" w:line="252" w:lineRule="auto"/>
              <w:jc w:val="left"/>
            </w:pPr>
            <w:r>
              <w:rPr>
                <w:rFonts w:ascii="Garamond" w:cs="Garamond" w:eastAsia="Garamond" w:hAnsi="Garamond"/>
                <w:b/>
                <w:bCs/>
                <w:color w:val="FFFFFF"/>
                <w:sz w:val="21"/>
                <w:szCs w:val="21"/>
              </w:rPr>
              <w:t xml:space="preserve">Fecha</w:t>
            </w:r>
          </w:p>
        </w:tc>
      </w:tr>
      <w:tr>
        <w:trPr>
          <w:tblHeader w:val="false"/>
        </w:trPr>
        <w:tc>
          <w:tcPr>
            <w:tcW w:type="dxa" w:w="4826"/>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Apertura de la convocatoria</w:t>
            </w:r>
          </w:p>
        </w:tc>
        <w:tc>
          <w:tcPr>
            <w:tcW w:type="dxa" w:w="4200"/>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Noviembre de 2026</w:t>
            </w:r>
          </w:p>
        </w:tc>
      </w:tr>
      <w:tr>
        <w:trPr>
          <w:tblHeader w:val="false"/>
        </w:trPr>
        <w:tc>
          <w:tcPr>
            <w:tcW w:type="dxa" w:w="4826"/>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Fecha límite de recepción de originales</w:t>
            </w:r>
          </w:p>
        </w:tc>
        <w:tc>
          <w:tcPr>
            <w:tcW w:type="dxa" w:w="4200"/>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15 de julio de 2027</w:t>
            </w:r>
          </w:p>
        </w:tc>
      </w:tr>
      <w:tr>
        <w:trPr>
          <w:tblHeader w:val="false"/>
        </w:trPr>
        <w:tc>
          <w:tcPr>
            <w:tcW w:type="dxa" w:w="4826"/>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Comunicación de resultados de evaluación</w:t>
            </w:r>
          </w:p>
        </w:tc>
        <w:tc>
          <w:tcPr>
            <w:tcW w:type="dxa" w:w="4200"/>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Continua, de enero a septiembre de 2027</w:t>
            </w:r>
          </w:p>
        </w:tc>
      </w:tr>
      <w:tr>
        <w:trPr>
          <w:tblHeader w:val="false"/>
        </w:trPr>
        <w:tc>
          <w:tcPr>
            <w:tcW w:type="dxa" w:w="4826"/>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Entrega de versiones finales</w:t>
            </w:r>
          </w:p>
        </w:tc>
        <w:tc>
          <w:tcPr>
            <w:tcW w:type="dxa" w:w="4200"/>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Hasta el cierre de septiembre de 2027</w:t>
            </w:r>
          </w:p>
        </w:tc>
      </w:tr>
      <w:tr>
        <w:trPr>
          <w:tblHeader w:val="false"/>
        </w:trPr>
        <w:tc>
          <w:tcPr>
            <w:tcW w:type="dxa" w:w="4826"/>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Publicación del Vol. 1, núm. 1</w:t>
            </w:r>
          </w:p>
        </w:tc>
        <w:tc>
          <w:tcPr>
            <w:tcW w:type="dxa" w:w="4200"/>
            <w:shd w:fill="FFFFFF" w:val="clear"/>
            <w:tcMar>
              <w:top w:type="dxa" w:w="60"/>
              <w:left w:type="dxa" w:w="100"/>
              <w:bottom w:type="dxa" w:w="60"/>
              <w:right w:type="dxa" w:w="100"/>
            </w:tcMar>
          </w:tcPr>
          <w:p>
            <w:pPr>
              <w:spacing w:after="0" w:line="252" w:lineRule="auto"/>
              <w:jc w:val="left"/>
            </w:pPr>
            <w:r>
              <w:rPr>
                <w:rFonts w:ascii="Garamond" w:cs="Garamond" w:eastAsia="Garamond" w:hAnsi="Garamond"/>
                <w:b w:val="false"/>
                <w:bCs w:val="false"/>
                <w:color w:val="000000"/>
                <w:sz w:val="21"/>
                <w:szCs w:val="21"/>
              </w:rPr>
              <w:t xml:space="preserve">Último trimestre de 2027</w:t>
            </w:r>
          </w:p>
        </w:tc>
      </w:tr>
    </w:tbl>
    <w:p>
      <w:pPr>
        <w:spacing w:after="140" w:before="100" w:line="276" w:lineRule="auto"/>
        <w:jc w:val="both"/>
      </w:pPr>
      <w:r>
        <w:rPr>
          <w:rFonts w:ascii="Garamond" w:cs="Garamond" w:eastAsia="Garamond" w:hAnsi="Garamond"/>
          <w:sz w:val="23"/>
          <w:szCs w:val="23"/>
        </w:rPr>
        <w:t xml:space="preserve">La evaluación se realiza de forma continua, a medida que se reciben los originales, por lo que se recomienda su envío temprano. Las fechas son orientativas y están sujetas a la marcha del proceso editorial.</w:t>
      </w:r>
    </w:p>
    <w:p>
      <w:pPr>
        <w:pStyle w:val="Heading1"/>
        <w:keepNext/>
        <w:spacing w:after="140" w:before="300"/>
      </w:pPr>
      <w:r>
        <w:rPr>
          <w:rFonts w:ascii="Garamond" w:cs="Garamond" w:eastAsia="Garamond" w:hAnsi="Garamond"/>
          <w:b/>
          <w:bCs/>
          <w:color w:val="1A2A5C"/>
          <w:sz w:val="28"/>
          <w:szCs w:val="28"/>
        </w:rPr>
        <w:t xml:space="preserve">5.  Envíos y contacto</w:t>
      </w:r>
    </w:p>
    <w:p>
      <w:pPr>
        <w:spacing w:after="140" w:before="0" w:line="276" w:lineRule="auto"/>
        <w:jc w:val="both"/>
      </w:pPr>
      <w:r>
        <w:rPr>
          <w:rFonts w:ascii="Garamond" w:cs="Garamond" w:eastAsia="Garamond" w:hAnsi="Garamond"/>
          <w:sz w:val="23"/>
          <w:szCs w:val="23"/>
        </w:rPr>
        <w:t xml:space="preserve">Los trabajos se remiten a través de la plataforma OJS de la revista. Para consultas: </w:t>
      </w:r>
      <w:r>
        <w:rPr>
          <w:rFonts w:ascii="Garamond" w:cs="Garamond" w:eastAsia="Garamond" w:hAnsi="Garamond"/>
          <w:b/>
          <w:bCs/>
          <w:sz w:val="23"/>
          <w:szCs w:val="23"/>
        </w:rPr>
        <w:t xml:space="preserve">revista@catedrahispanidad.com</w:t>
      </w:r>
      <w:r>
        <w:rPr>
          <w:rFonts w:ascii="Garamond" w:cs="Garamond" w:eastAsia="Garamond" w:hAnsi="Garamond"/>
          <w:sz w:val="23"/>
          <w:szCs w:val="23"/>
        </w:rPr>
        <w:t xml:space="preserv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Garamond" w:cs="Garamond" w:eastAsia="Garamond" w:hAnsi="Garamond"/>
        <w:color w:val="888888"/>
        <w:sz w:val="18"/>
        <w:szCs w:val="18"/>
      </w:rPr>
      <w:t xml:space="preserve">Página </w:t>
    </w:r>
    <w:r>
      <w:rPr>
        <w:rFonts w:ascii="Garamond" w:cs="Garamond" w:eastAsia="Garamond" w:hAnsi="Garamond"/>
        <w:color w:val="888888"/>
        <w:sz w:val="18"/>
        <w:szCs w:val="18"/>
      </w:rPr>
      <w:fldChar w:fldCharType="begin"/>
      <w:instrText xml:space="preserve">PAGE</w:instrText>
      <w:fldChar w:fldCharType="separate"/>
      <w:fldChar w:fldCharType="end"/>
    </w:r>
    <w:r>
      <w:rPr>
        <w:rFonts w:ascii="Garamond" w:cs="Garamond" w:eastAsia="Garamond" w:hAnsi="Garamond"/>
        <w:color w:val="888888"/>
        <w:sz w:val="18"/>
        <w:szCs w:val="18"/>
      </w:rPr>
      <w:t xml:space="preserve"> de </w:t>
    </w:r>
    <w:r>
      <w:rPr>
        <w:rFonts w:ascii="Garamond" w:cs="Garamond" w:eastAsia="Garamond" w:hAnsi="Garamond"/>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Garamond" w:cs="Garamond" w:eastAsia="Garamond" w:hAnsi="Garamond"/>
        <w:i/>
        <w:iCs/>
        <w:color w:val="888888"/>
        <w:sz w:val="16"/>
        <w:szCs w:val="16"/>
      </w:rPr>
      <w:t xml:space="preserve">Horizontes Culturales Hispánicos · Call for papers · Vol. 1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papers · Vol. 1 (2027)</dc:title>
  <dc:creator>Cátedra para la Promoción Internacional de la Cultura Hispánica (URJC)</dc:creator>
  <cp:lastModifiedBy>Un-named</cp:lastModifiedBy>
  <cp:revision>1</cp:revision>
  <dcterms:created xsi:type="dcterms:W3CDTF">2026-10-06T11:41:52.457Z</dcterms:created>
  <dcterms:modified xsi:type="dcterms:W3CDTF">2026-10-06T11:41:52.458Z</dcterms:modified>
</cp:coreProperties>
</file>

<file path=docProps/custom.xml><?xml version="1.0" encoding="utf-8"?>
<Properties xmlns="http://schemas.openxmlformats.org/officeDocument/2006/custom-properties" xmlns:vt="http://schemas.openxmlformats.org/officeDocument/2006/docPropsVTypes"/>
</file>