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AB917" w14:textId="77777777" w:rsidR="0028111C" w:rsidRPr="006B0410" w:rsidRDefault="00052E58">
      <w:pPr>
        <w:spacing w:after="40"/>
        <w:jc w:val="center"/>
        <w:rPr>
          <w:sz w:val="28"/>
          <w:szCs w:val="28"/>
        </w:rPr>
      </w:pPr>
      <w:r w:rsidRPr="006B0410">
        <w:rPr>
          <w:b/>
          <w:bCs/>
          <w:color w:val="8A6D1F"/>
          <w:sz w:val="28"/>
          <w:szCs w:val="28"/>
        </w:rPr>
        <w:t>CÁTEDRA PARA LA PROMOCIÓN INTERNACIONAL DE LA CULTURA HISPÁNICA</w:t>
      </w:r>
    </w:p>
    <w:p w14:paraId="3F7BA0F7" w14:textId="77777777" w:rsidR="0028111C" w:rsidRPr="006B0410" w:rsidRDefault="00052E58">
      <w:pPr>
        <w:pBdr>
          <w:bottom w:val="single" w:sz="6" w:space="8" w:color="8A6D1F"/>
        </w:pBdr>
        <w:spacing w:after="220"/>
        <w:jc w:val="center"/>
        <w:rPr>
          <w:sz w:val="28"/>
          <w:szCs w:val="28"/>
        </w:rPr>
      </w:pPr>
      <w:r w:rsidRPr="006B0410">
        <w:rPr>
          <w:i/>
          <w:iCs/>
          <w:color w:val="1A2A5C"/>
          <w:sz w:val="28"/>
          <w:szCs w:val="28"/>
        </w:rPr>
        <w:t>Universidad Rey Juan Carlos</w:t>
      </w:r>
    </w:p>
    <w:p w14:paraId="04DAF615" w14:textId="77777777" w:rsidR="0028111C" w:rsidRPr="006B0410" w:rsidRDefault="00052E58">
      <w:pPr>
        <w:spacing w:before="100" w:after="50"/>
        <w:jc w:val="center"/>
        <w:rPr>
          <w:sz w:val="28"/>
          <w:szCs w:val="28"/>
        </w:rPr>
      </w:pPr>
      <w:r w:rsidRPr="006B0410">
        <w:rPr>
          <w:b/>
          <w:bCs/>
          <w:color w:val="1A2A5C"/>
          <w:sz w:val="28"/>
          <w:szCs w:val="28"/>
        </w:rPr>
        <w:t>HORIZONTES CULTURALES HISPÁNICOS</w:t>
      </w:r>
    </w:p>
    <w:p w14:paraId="5F1F28A4" w14:textId="77777777" w:rsidR="0028111C" w:rsidRPr="006B0410" w:rsidRDefault="00052E58">
      <w:pPr>
        <w:spacing w:after="50"/>
        <w:jc w:val="center"/>
        <w:rPr>
          <w:color w:val="000000" w:themeColor="text1"/>
          <w:sz w:val="28"/>
          <w:szCs w:val="28"/>
          <w:u w:val="single"/>
        </w:rPr>
      </w:pPr>
      <w:r w:rsidRPr="006B0410">
        <w:rPr>
          <w:b/>
          <w:bCs/>
          <w:color w:val="000000" w:themeColor="text1"/>
          <w:sz w:val="28"/>
          <w:szCs w:val="28"/>
          <w:u w:val="single"/>
        </w:rPr>
        <w:t>Código ético y de buenas prácticas</w:t>
      </w:r>
    </w:p>
    <w:p w14:paraId="49671171" w14:textId="77777777" w:rsidR="0028111C" w:rsidRPr="006B0410" w:rsidRDefault="00052E58">
      <w:pPr>
        <w:pBdr>
          <w:bottom w:val="single" w:sz="6" w:space="8" w:color="8A6D1F"/>
        </w:pBdr>
        <w:spacing w:after="240"/>
        <w:jc w:val="center"/>
        <w:rPr>
          <w:sz w:val="28"/>
          <w:szCs w:val="28"/>
        </w:rPr>
      </w:pPr>
      <w:r w:rsidRPr="006B0410">
        <w:rPr>
          <w:i/>
          <w:iCs/>
          <w:color w:val="444444"/>
          <w:sz w:val="28"/>
          <w:szCs w:val="28"/>
        </w:rPr>
        <w:t>Principios de integridad editorial conforme a los estándares COPE</w:t>
      </w:r>
    </w:p>
    <w:p w14:paraId="1214EB2E" w14:textId="77777777" w:rsidR="0028111C" w:rsidRPr="006B0410" w:rsidRDefault="00052E58">
      <w:pPr>
        <w:spacing w:after="220"/>
        <w:jc w:val="center"/>
        <w:rPr>
          <w:sz w:val="28"/>
          <w:szCs w:val="28"/>
        </w:rPr>
      </w:pPr>
      <w:r w:rsidRPr="006B0410">
        <w:rPr>
          <w:color w:val="444444"/>
          <w:sz w:val="28"/>
          <w:szCs w:val="28"/>
        </w:rPr>
        <w:t>Documento de trabajo  ·  Versión 1.1  ·  21 de septiembre de 2026</w:t>
      </w:r>
    </w:p>
    <w:p w14:paraId="478EEFFE" w14:textId="77777777" w:rsidR="0028111C" w:rsidRPr="006B0410" w:rsidRDefault="00052E58">
      <w:pPr>
        <w:pBdr>
          <w:top w:val="single" w:sz="4" w:space="6" w:color="8A6D1F"/>
          <w:left w:val="single" w:sz="4" w:space="10" w:color="8A6D1F"/>
          <w:bottom w:val="single" w:sz="4" w:space="6" w:color="8A6D1F"/>
          <w:right w:val="single" w:sz="4" w:space="10" w:color="8A6D1F"/>
        </w:pBdr>
        <w:shd w:val="clear" w:color="auto" w:fill="F3F1E9"/>
        <w:spacing w:before="40" w:after="80" w:line="276" w:lineRule="auto"/>
        <w:jc w:val="both"/>
        <w:rPr>
          <w:sz w:val="28"/>
          <w:szCs w:val="28"/>
        </w:rPr>
      </w:pPr>
      <w:r w:rsidRPr="006B0410">
        <w:rPr>
          <w:b/>
          <w:bCs/>
          <w:color w:val="1A2A5C"/>
          <w:sz w:val="28"/>
          <w:szCs w:val="28"/>
        </w:rPr>
        <w:t xml:space="preserve">Marco de referencia.  </w:t>
      </w:r>
      <w:r w:rsidRPr="006B0410">
        <w:rPr>
          <w:sz w:val="28"/>
          <w:szCs w:val="28"/>
        </w:rPr>
        <w:t>Horizontes Culturales Hispánicos asume los principios de transparencia y buenas prácticas del Committee on Publication Ethics (COPE) y los aplica a todas las partes que intervienen en el proceso editorial: dirección y equipo editorial, evaluadores y autores. La participación en la revista implica la aceptación de este código.</w:t>
      </w:r>
    </w:p>
    <w:p w14:paraId="5199CA86" w14:textId="77777777" w:rsidR="0028111C" w:rsidRPr="006B0410" w:rsidRDefault="00052E58">
      <w:pPr>
        <w:pStyle w:val="Ttulo1"/>
        <w:keepNext/>
        <w:spacing w:before="300" w:after="140"/>
        <w:rPr>
          <w:sz w:val="28"/>
          <w:szCs w:val="28"/>
        </w:rPr>
      </w:pPr>
      <w:r w:rsidRPr="006B0410">
        <w:rPr>
          <w:b/>
          <w:bCs/>
          <w:color w:val="1A2A5C"/>
          <w:sz w:val="28"/>
          <w:szCs w:val="28"/>
        </w:rPr>
        <w:t>1.  Responsabilidades de la Dirección y del equipo editorial</w:t>
      </w:r>
    </w:p>
    <w:p w14:paraId="13FB5C10" w14:textId="77777777" w:rsidR="0028111C" w:rsidRPr="006B0410" w:rsidRDefault="00052E58">
      <w:pPr>
        <w:pStyle w:val="Prrafodelista"/>
        <w:numPr>
          <w:ilvl w:val="0"/>
          <w:numId w:val="2"/>
        </w:numPr>
        <w:spacing w:after="70" w:line="276" w:lineRule="auto"/>
        <w:jc w:val="both"/>
        <w:rPr>
          <w:sz w:val="28"/>
          <w:szCs w:val="28"/>
        </w:rPr>
      </w:pPr>
      <w:r w:rsidRPr="006B0410">
        <w:rPr>
          <w:sz w:val="28"/>
          <w:szCs w:val="28"/>
        </w:rPr>
        <w:t>Decidir sobre la publicación de los trabajos atendiendo únicamente a su calidad científica, originalidad, relevancia y adecuación a la línea editorial, sin discriminación por razón de la persona autora.</w:t>
      </w:r>
    </w:p>
    <w:p w14:paraId="2D077C13" w14:textId="77777777" w:rsidR="0028111C" w:rsidRPr="006B0410" w:rsidRDefault="00052E58">
      <w:pPr>
        <w:pStyle w:val="Prrafodelista"/>
        <w:numPr>
          <w:ilvl w:val="0"/>
          <w:numId w:val="2"/>
        </w:numPr>
        <w:spacing w:after="70" w:line="276" w:lineRule="auto"/>
        <w:jc w:val="both"/>
        <w:rPr>
          <w:sz w:val="28"/>
          <w:szCs w:val="28"/>
        </w:rPr>
      </w:pPr>
      <w:r w:rsidRPr="006B0410">
        <w:rPr>
          <w:sz w:val="28"/>
          <w:szCs w:val="28"/>
        </w:rPr>
        <w:t>Garantizar la imparcialidad y la confidencialidad del proceso de evaluación por pares y la identidad de autores y revisores.</w:t>
      </w:r>
    </w:p>
    <w:p w14:paraId="132FA977" w14:textId="77777777" w:rsidR="0028111C" w:rsidRPr="006B0410" w:rsidRDefault="00052E58">
      <w:pPr>
        <w:pStyle w:val="Prrafodelista"/>
        <w:numPr>
          <w:ilvl w:val="0"/>
          <w:numId w:val="2"/>
        </w:numPr>
        <w:spacing w:after="70" w:line="276" w:lineRule="auto"/>
        <w:jc w:val="both"/>
        <w:rPr>
          <w:sz w:val="28"/>
          <w:szCs w:val="28"/>
        </w:rPr>
      </w:pPr>
      <w:r w:rsidRPr="006B0410">
        <w:rPr>
          <w:sz w:val="28"/>
          <w:szCs w:val="28"/>
        </w:rPr>
        <w:t>Abstenerse de intervenir en la gestión de manuscritos en los que concurra un conflicto de interés, delegándola en otro miembro del equipo.</w:t>
      </w:r>
    </w:p>
    <w:p w14:paraId="2684F56D" w14:textId="77777777" w:rsidR="0028111C" w:rsidRPr="006B0410" w:rsidRDefault="00052E58">
      <w:pPr>
        <w:pStyle w:val="Prrafodelista"/>
        <w:numPr>
          <w:ilvl w:val="0"/>
          <w:numId w:val="2"/>
        </w:numPr>
        <w:spacing w:after="70" w:line="276" w:lineRule="auto"/>
        <w:jc w:val="both"/>
        <w:rPr>
          <w:sz w:val="28"/>
          <w:szCs w:val="28"/>
        </w:rPr>
      </w:pPr>
      <w:r w:rsidRPr="006B0410">
        <w:rPr>
          <w:sz w:val="28"/>
          <w:szCs w:val="28"/>
        </w:rPr>
        <w:t>Velar por la integridad del registro académico, publicando correcciones, aclaraciones o retractaciones cuando proceda.</w:t>
      </w:r>
    </w:p>
    <w:p w14:paraId="55C81D1B" w14:textId="77777777" w:rsidR="0028111C" w:rsidRPr="006B0410" w:rsidRDefault="00052E58">
      <w:pPr>
        <w:pStyle w:val="Prrafodelista"/>
        <w:numPr>
          <w:ilvl w:val="0"/>
          <w:numId w:val="2"/>
        </w:numPr>
        <w:spacing w:after="70" w:line="276" w:lineRule="auto"/>
        <w:jc w:val="both"/>
        <w:rPr>
          <w:sz w:val="28"/>
          <w:szCs w:val="28"/>
        </w:rPr>
      </w:pPr>
      <w:r w:rsidRPr="006B0410">
        <w:rPr>
          <w:sz w:val="28"/>
          <w:szCs w:val="28"/>
        </w:rPr>
        <w:t>No utilizar en investigaciones propias el material no publicado contenido en los manuscritos sin el consentimiento expreso del autor.</w:t>
      </w:r>
    </w:p>
    <w:p w14:paraId="79116BB9" w14:textId="77777777" w:rsidR="0028111C" w:rsidRPr="006B0410" w:rsidRDefault="00052E58">
      <w:pPr>
        <w:pStyle w:val="Ttulo1"/>
        <w:keepNext/>
        <w:spacing w:before="300" w:after="140"/>
        <w:rPr>
          <w:sz w:val="28"/>
          <w:szCs w:val="28"/>
        </w:rPr>
      </w:pPr>
      <w:r w:rsidRPr="006B0410">
        <w:rPr>
          <w:b/>
          <w:bCs/>
          <w:color w:val="1A2A5C"/>
          <w:sz w:val="28"/>
          <w:szCs w:val="28"/>
        </w:rPr>
        <w:t>2.  Responsabilidades de los evaluadores</w:t>
      </w:r>
    </w:p>
    <w:p w14:paraId="2C5E8D06" w14:textId="77777777" w:rsidR="0028111C" w:rsidRPr="006B0410" w:rsidRDefault="00052E58">
      <w:pPr>
        <w:pStyle w:val="Prrafodelista"/>
        <w:numPr>
          <w:ilvl w:val="0"/>
          <w:numId w:val="2"/>
        </w:numPr>
        <w:spacing w:after="70" w:line="276" w:lineRule="auto"/>
        <w:jc w:val="both"/>
        <w:rPr>
          <w:sz w:val="28"/>
          <w:szCs w:val="28"/>
        </w:rPr>
      </w:pPr>
      <w:r w:rsidRPr="006B0410">
        <w:rPr>
          <w:sz w:val="28"/>
          <w:szCs w:val="28"/>
        </w:rPr>
        <w:t>Contribuir a la decisión editorial y ayudar a los autores a mejorar sus trabajos mediante informes constructivos y motivados.</w:t>
      </w:r>
    </w:p>
    <w:p w14:paraId="4254D98D" w14:textId="77777777" w:rsidR="0028111C" w:rsidRPr="006B0410" w:rsidRDefault="00052E58">
      <w:pPr>
        <w:pStyle w:val="Prrafodelista"/>
        <w:numPr>
          <w:ilvl w:val="0"/>
          <w:numId w:val="2"/>
        </w:numPr>
        <w:spacing w:after="70" w:line="276" w:lineRule="auto"/>
        <w:jc w:val="both"/>
        <w:rPr>
          <w:sz w:val="28"/>
          <w:szCs w:val="28"/>
        </w:rPr>
      </w:pPr>
      <w:r w:rsidRPr="006B0410">
        <w:rPr>
          <w:sz w:val="28"/>
          <w:szCs w:val="28"/>
        </w:rPr>
        <w:t>Realizar la evaluación con objetividad, evitando la crítica personal, y respetar los plazos comprometidos o declinar la evaluación con prontitud si no pueden asumirla.</w:t>
      </w:r>
    </w:p>
    <w:p w14:paraId="4C2ABCCE" w14:textId="77777777" w:rsidR="0028111C" w:rsidRPr="006B0410" w:rsidRDefault="00052E58">
      <w:pPr>
        <w:pStyle w:val="Prrafodelista"/>
        <w:numPr>
          <w:ilvl w:val="0"/>
          <w:numId w:val="2"/>
        </w:numPr>
        <w:spacing w:after="70" w:line="276" w:lineRule="auto"/>
        <w:jc w:val="both"/>
        <w:rPr>
          <w:sz w:val="28"/>
          <w:szCs w:val="28"/>
        </w:rPr>
      </w:pPr>
      <w:r w:rsidRPr="006B0410">
        <w:rPr>
          <w:sz w:val="28"/>
          <w:szCs w:val="28"/>
        </w:rPr>
        <w:t>Mantener la confidencialidad de los manuscritos, que no se mostrarán ni discutirán con terceros.</w:t>
      </w:r>
    </w:p>
    <w:p w14:paraId="1E9A08B9" w14:textId="77777777" w:rsidR="0028111C" w:rsidRPr="006B0410" w:rsidRDefault="00052E58">
      <w:pPr>
        <w:pStyle w:val="Prrafodelista"/>
        <w:numPr>
          <w:ilvl w:val="0"/>
          <w:numId w:val="2"/>
        </w:numPr>
        <w:spacing w:after="70" w:line="276" w:lineRule="auto"/>
        <w:jc w:val="both"/>
        <w:rPr>
          <w:sz w:val="28"/>
          <w:szCs w:val="28"/>
        </w:rPr>
      </w:pPr>
      <w:r w:rsidRPr="006B0410">
        <w:rPr>
          <w:sz w:val="28"/>
          <w:szCs w:val="28"/>
        </w:rPr>
        <w:lastRenderedPageBreak/>
        <w:t>Advertir a la Dirección de cualquier semejanza sustancial con otros trabajos publicados, de posible plagio o de un conflicto de interés que aconseje su abstención.</w:t>
      </w:r>
    </w:p>
    <w:p w14:paraId="164D6B8A" w14:textId="77777777" w:rsidR="0028111C" w:rsidRPr="006B0410" w:rsidRDefault="00052E58">
      <w:pPr>
        <w:pStyle w:val="Ttulo1"/>
        <w:keepNext/>
        <w:spacing w:before="300" w:after="140"/>
        <w:rPr>
          <w:sz w:val="28"/>
          <w:szCs w:val="28"/>
        </w:rPr>
      </w:pPr>
      <w:r w:rsidRPr="006B0410">
        <w:rPr>
          <w:b/>
          <w:bCs/>
          <w:color w:val="1A2A5C"/>
          <w:sz w:val="28"/>
          <w:szCs w:val="28"/>
        </w:rPr>
        <w:t>3.  Responsabilidades de los autores</w:t>
      </w:r>
    </w:p>
    <w:p w14:paraId="332347CE" w14:textId="77777777" w:rsidR="0028111C" w:rsidRPr="006B0410" w:rsidRDefault="00052E58">
      <w:pPr>
        <w:pStyle w:val="Prrafodelista"/>
        <w:numPr>
          <w:ilvl w:val="0"/>
          <w:numId w:val="2"/>
        </w:numPr>
        <w:spacing w:after="70" w:line="276" w:lineRule="auto"/>
        <w:jc w:val="both"/>
        <w:rPr>
          <w:sz w:val="28"/>
          <w:szCs w:val="28"/>
        </w:rPr>
      </w:pPr>
      <w:r w:rsidRPr="006B0410">
        <w:rPr>
          <w:sz w:val="28"/>
          <w:szCs w:val="28"/>
        </w:rPr>
        <w:t>Garantizar la originalidad del trabajo, que no habrá sido publicado ni estará sometido simultáneamente a evaluación en otra publicación.</w:t>
      </w:r>
    </w:p>
    <w:p w14:paraId="6B8665ED" w14:textId="77777777" w:rsidR="0028111C" w:rsidRPr="006B0410" w:rsidRDefault="00052E58">
      <w:pPr>
        <w:pStyle w:val="Prrafodelista"/>
        <w:numPr>
          <w:ilvl w:val="0"/>
          <w:numId w:val="2"/>
        </w:numPr>
        <w:spacing w:after="70" w:line="276" w:lineRule="auto"/>
        <w:jc w:val="both"/>
        <w:rPr>
          <w:sz w:val="28"/>
          <w:szCs w:val="28"/>
        </w:rPr>
      </w:pPr>
      <w:r w:rsidRPr="006B0410">
        <w:rPr>
          <w:sz w:val="28"/>
          <w:szCs w:val="28"/>
        </w:rPr>
        <w:t>Citar de forma adecuada las fuentes y los trabajos que hayan influido en la investigación, y obtener los permisos de reproducción del material ajeno.</w:t>
      </w:r>
    </w:p>
    <w:p w14:paraId="1E0128DD" w14:textId="77777777" w:rsidR="0028111C" w:rsidRPr="006B0410" w:rsidRDefault="00052E58">
      <w:pPr>
        <w:pStyle w:val="Prrafodelista"/>
        <w:numPr>
          <w:ilvl w:val="0"/>
          <w:numId w:val="2"/>
        </w:numPr>
        <w:spacing w:after="70" w:line="276" w:lineRule="auto"/>
        <w:jc w:val="both"/>
        <w:rPr>
          <w:sz w:val="28"/>
          <w:szCs w:val="28"/>
        </w:rPr>
      </w:pPr>
      <w:r w:rsidRPr="006B0410">
        <w:rPr>
          <w:sz w:val="28"/>
          <w:szCs w:val="28"/>
        </w:rPr>
        <w:t>Reconocer como autores únicamente a quienes hayan realizado una contribución significativa, y contar con la conformidad de todos ellos con la versión enviada.</w:t>
      </w:r>
    </w:p>
    <w:p w14:paraId="2D897230" w14:textId="77777777" w:rsidR="0028111C" w:rsidRPr="006B0410" w:rsidRDefault="00052E58">
      <w:pPr>
        <w:pStyle w:val="Prrafodelista"/>
        <w:numPr>
          <w:ilvl w:val="0"/>
          <w:numId w:val="2"/>
        </w:numPr>
        <w:spacing w:after="70" w:line="276" w:lineRule="auto"/>
        <w:jc w:val="both"/>
        <w:rPr>
          <w:sz w:val="28"/>
          <w:szCs w:val="28"/>
        </w:rPr>
      </w:pPr>
      <w:r w:rsidRPr="006B0410">
        <w:rPr>
          <w:sz w:val="28"/>
          <w:szCs w:val="28"/>
        </w:rPr>
        <w:t>Declarar las fuentes de financiación y los eventuales conflictos de interés.</w:t>
      </w:r>
    </w:p>
    <w:p w14:paraId="0CEE755B" w14:textId="77777777" w:rsidR="0028111C" w:rsidRPr="006B0410" w:rsidRDefault="00052E58">
      <w:pPr>
        <w:pStyle w:val="Prrafodelista"/>
        <w:numPr>
          <w:ilvl w:val="0"/>
          <w:numId w:val="2"/>
        </w:numPr>
        <w:spacing w:after="70" w:line="276" w:lineRule="auto"/>
        <w:jc w:val="both"/>
        <w:rPr>
          <w:sz w:val="28"/>
          <w:szCs w:val="28"/>
        </w:rPr>
      </w:pPr>
      <w:r w:rsidRPr="006B0410">
        <w:rPr>
          <w:sz w:val="28"/>
          <w:szCs w:val="28"/>
        </w:rPr>
        <w:t>Comunicar a la revista cualquier error relevante advertido tras la publicación, y colaborar en su corrección o retractación.</w:t>
      </w:r>
    </w:p>
    <w:p w14:paraId="3318D656" w14:textId="77777777" w:rsidR="0028111C" w:rsidRPr="006B0410" w:rsidRDefault="00052E58">
      <w:pPr>
        <w:pStyle w:val="Ttulo1"/>
        <w:keepNext/>
        <w:spacing w:before="300" w:after="140"/>
        <w:rPr>
          <w:sz w:val="28"/>
          <w:szCs w:val="28"/>
        </w:rPr>
      </w:pPr>
      <w:r w:rsidRPr="006B0410">
        <w:rPr>
          <w:b/>
          <w:bCs/>
          <w:color w:val="1A2A5C"/>
          <w:sz w:val="28"/>
          <w:szCs w:val="28"/>
        </w:rPr>
        <w:t>4.  Detección y tratamiento del plagio</w:t>
      </w:r>
    </w:p>
    <w:p w14:paraId="5AE37682" w14:textId="77777777" w:rsidR="0028111C" w:rsidRPr="006B0410" w:rsidRDefault="00052E58">
      <w:pPr>
        <w:spacing w:after="140" w:line="276" w:lineRule="auto"/>
        <w:jc w:val="both"/>
        <w:rPr>
          <w:sz w:val="28"/>
          <w:szCs w:val="28"/>
        </w:rPr>
      </w:pPr>
      <w:r w:rsidRPr="006B0410">
        <w:rPr>
          <w:sz w:val="28"/>
          <w:szCs w:val="28"/>
        </w:rPr>
        <w:t>Todos los manuscritos se someten a control de originalidad mediante software antiplagio. La detección de plagio, de datos fabricados o falsificados, de publicación duplicada o de autoría indebida dará lugar al rechazo del trabajo o, si ya estuviera publicado, a su retractación, con comunicación, en los casos graves, a las instituciones de afiliación de los autores.</w:t>
      </w:r>
    </w:p>
    <w:p w14:paraId="63464E30" w14:textId="77777777" w:rsidR="0028111C" w:rsidRPr="006B0410" w:rsidRDefault="00052E58">
      <w:pPr>
        <w:pStyle w:val="Ttulo1"/>
        <w:keepNext/>
        <w:spacing w:before="300" w:after="140"/>
        <w:rPr>
          <w:sz w:val="28"/>
          <w:szCs w:val="28"/>
        </w:rPr>
      </w:pPr>
      <w:r w:rsidRPr="006B0410">
        <w:rPr>
          <w:b/>
          <w:bCs/>
          <w:color w:val="1A2A5C"/>
          <w:sz w:val="28"/>
          <w:szCs w:val="28"/>
        </w:rPr>
        <w:t>5.  Conflictos de interés</w:t>
      </w:r>
    </w:p>
    <w:p w14:paraId="1B327609" w14:textId="77777777" w:rsidR="0028111C" w:rsidRPr="006B0410" w:rsidRDefault="00052E58">
      <w:pPr>
        <w:spacing w:after="140" w:line="276" w:lineRule="auto"/>
        <w:jc w:val="both"/>
        <w:rPr>
          <w:sz w:val="28"/>
          <w:szCs w:val="28"/>
        </w:rPr>
      </w:pPr>
      <w:r w:rsidRPr="006B0410">
        <w:rPr>
          <w:sz w:val="28"/>
          <w:szCs w:val="28"/>
        </w:rPr>
        <w:t>Se considera conflicto de interés cualquier circunstancia de índole personal, académica, profesional, financiera o institucional que pueda comprometer la objetividad del proceso editorial. Autores, evaluadores y editores están obligados a declararlo. Quien tenga un conflicto respecto de un manuscrito se abstendrá de participar en su gestión o evaluación.</w:t>
      </w:r>
    </w:p>
    <w:p w14:paraId="79E6EEA3" w14:textId="77777777" w:rsidR="0028111C" w:rsidRPr="006B0410" w:rsidRDefault="00052E58">
      <w:pPr>
        <w:pStyle w:val="Ttulo1"/>
        <w:keepNext/>
        <w:spacing w:before="300" w:after="140"/>
        <w:rPr>
          <w:sz w:val="28"/>
          <w:szCs w:val="28"/>
        </w:rPr>
      </w:pPr>
      <w:r w:rsidRPr="006B0410">
        <w:rPr>
          <w:b/>
          <w:bCs/>
          <w:color w:val="1A2A5C"/>
          <w:sz w:val="28"/>
          <w:szCs w:val="28"/>
        </w:rPr>
        <w:t>6.  Reclamaciones, apelaciones y correcciones</w:t>
      </w:r>
    </w:p>
    <w:p w14:paraId="2B5DEC56" w14:textId="77777777" w:rsidR="0028111C" w:rsidRPr="006B0410" w:rsidRDefault="00052E58">
      <w:pPr>
        <w:spacing w:after="140" w:line="276" w:lineRule="auto"/>
        <w:jc w:val="both"/>
        <w:rPr>
          <w:sz w:val="28"/>
          <w:szCs w:val="28"/>
        </w:rPr>
      </w:pPr>
      <w:r w:rsidRPr="006B0410">
        <w:rPr>
          <w:sz w:val="28"/>
          <w:szCs w:val="28"/>
        </w:rPr>
        <w:t>Los autores podrán apelar de forma motivada las decisiones editoriales dirigiéndose a la Dirección, que resolverá tras recabar, en su caso, un informe adicional. La revista atenderá las reclamaciones sobre el proceso o los contenidos publicados y aplicará, cuando corresponda, correcciones (fe de erratas), expresiones de preocupación o retractaciones, conforme a los diagramas de flujo de COPE.</w:t>
      </w:r>
    </w:p>
    <w:p w14:paraId="4D40624D" w14:textId="77777777" w:rsidR="0028111C" w:rsidRPr="006B0410" w:rsidRDefault="00052E58">
      <w:pPr>
        <w:pStyle w:val="Ttulo1"/>
        <w:keepNext/>
        <w:spacing w:before="300" w:after="140"/>
        <w:rPr>
          <w:sz w:val="28"/>
          <w:szCs w:val="28"/>
        </w:rPr>
      </w:pPr>
      <w:r w:rsidRPr="006B0410">
        <w:rPr>
          <w:b/>
          <w:bCs/>
          <w:color w:val="1A2A5C"/>
          <w:sz w:val="28"/>
          <w:szCs w:val="28"/>
        </w:rPr>
        <w:lastRenderedPageBreak/>
        <w:t>7.  Confidencialidad y protección de datos</w:t>
      </w:r>
    </w:p>
    <w:p w14:paraId="3A08139E" w14:textId="77777777" w:rsidR="0028111C" w:rsidRPr="006B0410" w:rsidRDefault="00052E58">
      <w:pPr>
        <w:spacing w:after="140" w:line="276" w:lineRule="auto"/>
        <w:jc w:val="both"/>
        <w:rPr>
          <w:sz w:val="28"/>
          <w:szCs w:val="28"/>
        </w:rPr>
      </w:pPr>
      <w:r w:rsidRPr="006B0410">
        <w:rPr>
          <w:sz w:val="28"/>
          <w:szCs w:val="28"/>
        </w:rPr>
        <w:t>La información relativa a los manuscritos es confidencial durante todo el proceso editorial. Los datos personales de autores y evaluadores se tratan conforme al Reglamento General de Protección de Datos (RGPD) y a la política de privacidad de la revista, y se emplean exclusivamente para los fines editoriales declarados.</w:t>
      </w:r>
    </w:p>
    <w:p w14:paraId="62E56099" w14:textId="77777777" w:rsidR="0028111C" w:rsidRPr="006B0410" w:rsidRDefault="00052E58">
      <w:pPr>
        <w:pStyle w:val="Ttulo1"/>
        <w:keepNext/>
        <w:spacing w:before="300" w:after="140"/>
        <w:rPr>
          <w:sz w:val="28"/>
          <w:szCs w:val="28"/>
        </w:rPr>
      </w:pPr>
      <w:r w:rsidRPr="006B0410">
        <w:rPr>
          <w:b/>
          <w:bCs/>
          <w:color w:val="1A2A5C"/>
          <w:sz w:val="28"/>
          <w:szCs w:val="28"/>
        </w:rPr>
        <w:t>8.  Acceso abierto e integridad del registro</w:t>
      </w:r>
    </w:p>
    <w:p w14:paraId="14B7C35F" w14:textId="77777777" w:rsidR="0028111C" w:rsidRPr="006B0410" w:rsidRDefault="00052E58">
      <w:pPr>
        <w:spacing w:after="140" w:line="276" w:lineRule="auto"/>
        <w:jc w:val="both"/>
        <w:rPr>
          <w:sz w:val="28"/>
          <w:szCs w:val="28"/>
        </w:rPr>
      </w:pPr>
      <w:r w:rsidRPr="006B0410">
        <w:rPr>
          <w:sz w:val="28"/>
          <w:szCs w:val="28"/>
        </w:rPr>
        <w:t>La revista se publica en acceso abierto, sin cargos para los autores, y garantiza la preservación digital de sus contenidos. Vela por la permanencia y la trazabilidad del registro académico, de modo que las versiones publicadas y sus eventuales correcciones queden identificadas de forma inequívoca.</w:t>
      </w:r>
    </w:p>
    <w:p w14:paraId="68CEDBAA" w14:textId="77777777" w:rsidR="0028111C" w:rsidRPr="006B0410" w:rsidRDefault="00052E58">
      <w:pPr>
        <w:pStyle w:val="Ttulo1"/>
        <w:keepNext/>
        <w:spacing w:before="300" w:after="140"/>
        <w:rPr>
          <w:sz w:val="28"/>
          <w:szCs w:val="28"/>
        </w:rPr>
      </w:pPr>
      <w:r w:rsidRPr="006B0410">
        <w:rPr>
          <w:b/>
          <w:bCs/>
          <w:color w:val="1A2A5C"/>
          <w:sz w:val="28"/>
          <w:szCs w:val="28"/>
        </w:rPr>
        <w:t>9.  Integridad de los datos de investigación</w:t>
      </w:r>
    </w:p>
    <w:p w14:paraId="62CE05E3" w14:textId="77777777" w:rsidR="0028111C" w:rsidRPr="006B0410" w:rsidRDefault="00052E58">
      <w:pPr>
        <w:spacing w:after="140" w:line="276" w:lineRule="auto"/>
        <w:jc w:val="both"/>
        <w:rPr>
          <w:sz w:val="28"/>
          <w:szCs w:val="28"/>
        </w:rPr>
      </w:pPr>
      <w:r w:rsidRPr="006B0410">
        <w:rPr>
          <w:sz w:val="28"/>
          <w:szCs w:val="28"/>
        </w:rPr>
        <w:t>Los autores conservarán los datos primarios de su investigación y los facilitarán, cuando proceda, para la verificación editorial. La revista promueve la disponibilidad de los datos conforme a los principios de la ciencia abierta, con respeto a la confidencialidad y a la normativa de protección de datos, y solicita a los autores una declaración sobre su disponibilidad. La fabricación, la falsificación o la manipulación de datos constituyen faltas graves de integridad y dan lugar al rechazo del trabajo o, si</w:t>
      </w:r>
      <w:r w:rsidRPr="006B0410">
        <w:rPr>
          <w:sz w:val="28"/>
          <w:szCs w:val="28"/>
        </w:rPr>
        <w:t xml:space="preserve"> ya estuviera publicado, a su retractación.</w:t>
      </w:r>
    </w:p>
    <w:p w14:paraId="14C4BC58" w14:textId="77777777" w:rsidR="0028111C" w:rsidRPr="006B0410" w:rsidRDefault="00052E58">
      <w:pPr>
        <w:pStyle w:val="Ttulo1"/>
        <w:keepNext/>
        <w:spacing w:before="300" w:after="140"/>
        <w:rPr>
          <w:sz w:val="28"/>
          <w:szCs w:val="28"/>
        </w:rPr>
      </w:pPr>
      <w:r w:rsidRPr="006B0410">
        <w:rPr>
          <w:b/>
          <w:bCs/>
          <w:color w:val="1A2A5C"/>
          <w:sz w:val="28"/>
          <w:szCs w:val="28"/>
        </w:rPr>
        <w:t>10.  Uso de inteligencia artificial generativa</w:t>
      </w:r>
    </w:p>
    <w:p w14:paraId="5A7A3E81" w14:textId="77777777" w:rsidR="0028111C" w:rsidRPr="006B0410" w:rsidRDefault="00052E58">
      <w:pPr>
        <w:spacing w:after="140" w:line="276" w:lineRule="auto"/>
        <w:jc w:val="both"/>
        <w:rPr>
          <w:sz w:val="28"/>
          <w:szCs w:val="28"/>
        </w:rPr>
      </w:pPr>
      <w:r w:rsidRPr="006B0410">
        <w:rPr>
          <w:sz w:val="28"/>
          <w:szCs w:val="28"/>
        </w:rPr>
        <w:t>El empleo de herramientas de inteligencia artificial generativa por parte de los autores debe declararse, con indicación de su finalidad. Estas herramientas no pueden figurar como autoras ni asumir la responsabilidad del contenido, que corresponde íntegramente a los autores, quienes responden de su exactitud e integridad. Los evaluadores y editores no introducirán los manuscritos, en todo ni en parte, en herramientas que no garanticen la confidencialidad, y declararán cualquier asistencia de este tipo. La r</w:t>
      </w:r>
      <w:r w:rsidRPr="006B0410">
        <w:rPr>
          <w:sz w:val="28"/>
          <w:szCs w:val="28"/>
        </w:rPr>
        <w:t>evista actualizará esta política conforme evolucionen las recomendaciones de COPE.</w:t>
      </w:r>
    </w:p>
    <w:p w14:paraId="1EBCC018" w14:textId="77777777" w:rsidR="0028111C" w:rsidRPr="006B0410" w:rsidRDefault="00052E58">
      <w:pPr>
        <w:pBdr>
          <w:top w:val="single" w:sz="4" w:space="6" w:color="8A6D1F"/>
          <w:left w:val="single" w:sz="4" w:space="10" w:color="8A6D1F"/>
          <w:bottom w:val="single" w:sz="4" w:space="6" w:color="8A6D1F"/>
          <w:right w:val="single" w:sz="4" w:space="10" w:color="8A6D1F"/>
        </w:pBdr>
        <w:shd w:val="clear" w:color="auto" w:fill="F3F1E9"/>
        <w:spacing w:before="40" w:after="80" w:line="276" w:lineRule="auto"/>
        <w:jc w:val="both"/>
        <w:rPr>
          <w:sz w:val="28"/>
          <w:szCs w:val="28"/>
        </w:rPr>
      </w:pPr>
      <w:r w:rsidRPr="006B0410">
        <w:rPr>
          <w:b/>
          <w:bCs/>
          <w:color w:val="1A2A5C"/>
          <w:sz w:val="28"/>
          <w:szCs w:val="28"/>
        </w:rPr>
        <w:t xml:space="preserve">Adhesión.  </w:t>
      </w:r>
      <w:r w:rsidRPr="006B0410">
        <w:rPr>
          <w:sz w:val="28"/>
          <w:szCs w:val="28"/>
        </w:rPr>
        <w:t>La revista trabaja para adecuar sus procedimientos a los principios de COPE y contempla, a medio plazo, solicitar su membresía institucional como garantía adicional de buenas prácticas editoriales.</w:t>
      </w:r>
    </w:p>
    <w:sectPr w:rsidR="0028111C" w:rsidRPr="006B0410">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8765B" w14:textId="77777777" w:rsidR="00052E58" w:rsidRDefault="00052E58">
      <w:r>
        <w:separator/>
      </w:r>
    </w:p>
  </w:endnote>
  <w:endnote w:type="continuationSeparator" w:id="0">
    <w:p w14:paraId="4E8BAF96" w14:textId="77777777" w:rsidR="00052E58" w:rsidRDefault="00052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167FC" w14:textId="77777777" w:rsidR="0028111C" w:rsidRDefault="00052E58">
    <w:pPr>
      <w:pBdr>
        <w:top w:val="single" w:sz="4" w:space="4" w:color="CCCCCC"/>
      </w:pBdr>
      <w:jc w:val="center"/>
    </w:pPr>
    <w:r>
      <w:rPr>
        <w:color w:val="888888"/>
        <w:sz w:val="18"/>
        <w:szCs w:val="18"/>
      </w:rPr>
      <w:t xml:space="preserve">Página </w:t>
    </w:r>
    <w:r>
      <w:rPr>
        <w:color w:val="888888"/>
        <w:sz w:val="18"/>
        <w:szCs w:val="18"/>
      </w:rPr>
      <w:fldChar w:fldCharType="begin"/>
    </w:r>
    <w:r>
      <w:rPr>
        <w:color w:val="888888"/>
        <w:sz w:val="18"/>
        <w:szCs w:val="18"/>
      </w:rPr>
      <w:instrText>PAGE</w:instrText>
    </w:r>
    <w:r>
      <w:rPr>
        <w:color w:val="888888"/>
        <w:sz w:val="18"/>
        <w:szCs w:val="18"/>
      </w:rPr>
      <w:fldChar w:fldCharType="separate"/>
    </w:r>
    <w:r w:rsidR="006B0410">
      <w:rPr>
        <w:noProof/>
        <w:color w:val="888888"/>
        <w:sz w:val="18"/>
        <w:szCs w:val="18"/>
      </w:rPr>
      <w:t>1</w:t>
    </w:r>
    <w:r>
      <w:rPr>
        <w:color w:val="888888"/>
        <w:sz w:val="18"/>
        <w:szCs w:val="18"/>
      </w:rPr>
      <w:fldChar w:fldCharType="end"/>
    </w:r>
    <w:r>
      <w:rPr>
        <w:color w:val="888888"/>
        <w:sz w:val="18"/>
        <w:szCs w:val="18"/>
      </w:rPr>
      <w:t xml:space="preserve"> de </w:t>
    </w:r>
    <w:r>
      <w:rPr>
        <w:color w:val="888888"/>
        <w:sz w:val="18"/>
        <w:szCs w:val="18"/>
      </w:rPr>
      <w:fldChar w:fldCharType="begin"/>
    </w:r>
    <w:r>
      <w:rPr>
        <w:color w:val="888888"/>
        <w:sz w:val="18"/>
        <w:szCs w:val="18"/>
      </w:rPr>
      <w:instrText>NUMPAGES</w:instrText>
    </w:r>
    <w:r>
      <w:rPr>
        <w:color w:val="888888"/>
        <w:sz w:val="18"/>
        <w:szCs w:val="18"/>
      </w:rPr>
      <w:fldChar w:fldCharType="separate"/>
    </w:r>
    <w:r w:rsidR="006B0410">
      <w:rPr>
        <w:noProof/>
        <w:color w:val="888888"/>
        <w:sz w:val="18"/>
        <w:szCs w:val="18"/>
      </w:rPr>
      <w:t>2</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B0744" w14:textId="77777777" w:rsidR="00052E58" w:rsidRDefault="00052E58">
      <w:r>
        <w:separator/>
      </w:r>
    </w:p>
  </w:footnote>
  <w:footnote w:type="continuationSeparator" w:id="0">
    <w:p w14:paraId="4F1B214B" w14:textId="77777777" w:rsidR="00052E58" w:rsidRDefault="00052E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D1D99" w14:textId="77777777" w:rsidR="0028111C" w:rsidRDefault="00052E58">
    <w:pPr>
      <w:pBdr>
        <w:bottom w:val="single" w:sz="4" w:space="4" w:color="CCCCCC"/>
      </w:pBdr>
      <w:jc w:val="right"/>
    </w:pPr>
    <w:r>
      <w:rPr>
        <w:i/>
        <w:iCs/>
        <w:color w:val="888888"/>
        <w:sz w:val="16"/>
        <w:szCs w:val="16"/>
      </w:rPr>
      <w:t>Horizontes Culturales Hispánicos · Código ético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171C04"/>
    <w:multiLevelType w:val="hybridMultilevel"/>
    <w:tmpl w:val="E6D4F8DC"/>
    <w:lvl w:ilvl="0" w:tplc="BD5E7344">
      <w:start w:val="1"/>
      <w:numFmt w:val="bullet"/>
      <w:lvlText w:val="●"/>
      <w:lvlJc w:val="left"/>
      <w:pPr>
        <w:ind w:left="720" w:hanging="360"/>
      </w:pPr>
    </w:lvl>
    <w:lvl w:ilvl="1" w:tplc="7884C634">
      <w:start w:val="1"/>
      <w:numFmt w:val="bullet"/>
      <w:lvlText w:val="○"/>
      <w:lvlJc w:val="left"/>
      <w:pPr>
        <w:ind w:left="1440" w:hanging="360"/>
      </w:pPr>
    </w:lvl>
    <w:lvl w:ilvl="2" w:tplc="5F1C140E">
      <w:start w:val="1"/>
      <w:numFmt w:val="bullet"/>
      <w:lvlText w:val="■"/>
      <w:lvlJc w:val="left"/>
      <w:pPr>
        <w:ind w:left="2160" w:hanging="360"/>
      </w:pPr>
    </w:lvl>
    <w:lvl w:ilvl="3" w:tplc="AB18314A">
      <w:start w:val="1"/>
      <w:numFmt w:val="bullet"/>
      <w:lvlText w:val="●"/>
      <w:lvlJc w:val="left"/>
      <w:pPr>
        <w:ind w:left="2880" w:hanging="360"/>
      </w:pPr>
    </w:lvl>
    <w:lvl w:ilvl="4" w:tplc="4DB80EEE">
      <w:start w:val="1"/>
      <w:numFmt w:val="bullet"/>
      <w:lvlText w:val="○"/>
      <w:lvlJc w:val="left"/>
      <w:pPr>
        <w:ind w:left="3600" w:hanging="360"/>
      </w:pPr>
    </w:lvl>
    <w:lvl w:ilvl="5" w:tplc="07103CB0">
      <w:start w:val="1"/>
      <w:numFmt w:val="bullet"/>
      <w:lvlText w:val="■"/>
      <w:lvlJc w:val="left"/>
      <w:pPr>
        <w:ind w:left="4320" w:hanging="360"/>
      </w:pPr>
    </w:lvl>
    <w:lvl w:ilvl="6" w:tplc="843ED416">
      <w:start w:val="1"/>
      <w:numFmt w:val="bullet"/>
      <w:lvlText w:val="●"/>
      <w:lvlJc w:val="left"/>
      <w:pPr>
        <w:ind w:left="5040" w:hanging="360"/>
      </w:pPr>
    </w:lvl>
    <w:lvl w:ilvl="7" w:tplc="F402A982">
      <w:start w:val="1"/>
      <w:numFmt w:val="bullet"/>
      <w:lvlText w:val="●"/>
      <w:lvlJc w:val="left"/>
      <w:pPr>
        <w:ind w:left="5760" w:hanging="360"/>
      </w:pPr>
    </w:lvl>
    <w:lvl w:ilvl="8" w:tplc="51662A58">
      <w:start w:val="1"/>
      <w:numFmt w:val="bullet"/>
      <w:lvlText w:val="●"/>
      <w:lvlJc w:val="left"/>
      <w:pPr>
        <w:ind w:left="6480" w:hanging="360"/>
      </w:pPr>
    </w:lvl>
  </w:abstractNum>
  <w:abstractNum w:abstractNumId="1" w15:restartNumberingAfterBreak="0">
    <w:nsid w:val="7C790B3E"/>
    <w:multiLevelType w:val="hybridMultilevel"/>
    <w:tmpl w:val="E9588106"/>
    <w:lvl w:ilvl="0" w:tplc="29D2BF0E">
      <w:start w:val="1"/>
      <w:numFmt w:val="bullet"/>
      <w:lvlText w:val="•"/>
      <w:lvlJc w:val="left"/>
      <w:pPr>
        <w:ind w:left="460" w:hanging="260"/>
      </w:pPr>
    </w:lvl>
    <w:lvl w:ilvl="1" w:tplc="00900E74">
      <w:start w:val="1"/>
      <w:numFmt w:val="bullet"/>
      <w:lvlText w:val="–"/>
      <w:lvlJc w:val="left"/>
      <w:pPr>
        <w:ind w:left="920" w:hanging="260"/>
      </w:pPr>
    </w:lvl>
    <w:lvl w:ilvl="2" w:tplc="DFE4BE46">
      <w:numFmt w:val="decimal"/>
      <w:lvlText w:val=""/>
      <w:lvlJc w:val="left"/>
    </w:lvl>
    <w:lvl w:ilvl="3" w:tplc="27BA6646">
      <w:numFmt w:val="decimal"/>
      <w:lvlText w:val=""/>
      <w:lvlJc w:val="left"/>
    </w:lvl>
    <w:lvl w:ilvl="4" w:tplc="16261562">
      <w:numFmt w:val="decimal"/>
      <w:lvlText w:val=""/>
      <w:lvlJc w:val="left"/>
    </w:lvl>
    <w:lvl w:ilvl="5" w:tplc="B016F33A">
      <w:numFmt w:val="decimal"/>
      <w:lvlText w:val=""/>
      <w:lvlJc w:val="left"/>
    </w:lvl>
    <w:lvl w:ilvl="6" w:tplc="8360971E">
      <w:numFmt w:val="decimal"/>
      <w:lvlText w:val=""/>
      <w:lvlJc w:val="left"/>
    </w:lvl>
    <w:lvl w:ilvl="7" w:tplc="F6A4719C">
      <w:numFmt w:val="decimal"/>
      <w:lvlText w:val=""/>
      <w:lvlJc w:val="left"/>
    </w:lvl>
    <w:lvl w:ilvl="8" w:tplc="D9565330">
      <w:numFmt w:val="decimal"/>
      <w:lvlText w:val=""/>
      <w:lvlJc w:val="left"/>
    </w:lvl>
  </w:abstractNum>
  <w:num w:numId="1" w16cid:durableId="257058272">
    <w:abstractNumId w:val="0"/>
    <w:lvlOverride w:ilvl="0">
      <w:startOverride w:val="1"/>
    </w:lvlOverride>
  </w:num>
  <w:num w:numId="2" w16cid:durableId="103723914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11C"/>
    <w:rsid w:val="00052E58"/>
    <w:rsid w:val="0028111C"/>
    <w:rsid w:val="004D712A"/>
    <w:rsid w:val="006B0410"/>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D700D"/>
  <w15:docId w15:val="{A1736E2F-67D7-4A6E-B01E-C566A1081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Garamond" w:hAnsi="Garamond" w:cs="Garamond"/>
        <w:sz w:val="23"/>
        <w:szCs w:val="23"/>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938</Words>
  <Characters>5160</Characters>
  <Application>Microsoft Office Word</Application>
  <DocSecurity>0</DocSecurity>
  <Lines>43</Lines>
  <Paragraphs>12</Paragraphs>
  <ScaleCrop>false</ScaleCrop>
  <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Código ético</dc:title>
  <dc:creator>Cátedra para la Promoción Internacional de la Cultura Hispánica (URJC)</dc:creator>
  <cp:lastModifiedBy>Morris Eidelman</cp:lastModifiedBy>
  <cp:revision>2</cp:revision>
  <dcterms:created xsi:type="dcterms:W3CDTF">2026-09-22T10:44:00Z</dcterms:created>
  <dcterms:modified xsi:type="dcterms:W3CDTF">2026-09-22T10:44:00Z</dcterms:modified>
</cp:coreProperties>
</file>