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AB07" w14:textId="77777777" w:rsidR="00A15D9F" w:rsidRPr="00EE3400" w:rsidRDefault="0092211F">
      <w:pPr>
        <w:spacing w:after="40"/>
        <w:jc w:val="center"/>
        <w:rPr>
          <w:sz w:val="28"/>
          <w:szCs w:val="28"/>
        </w:rPr>
      </w:pPr>
      <w:r w:rsidRPr="00EE3400">
        <w:rPr>
          <w:b/>
          <w:bCs/>
          <w:color w:val="8A6D1F"/>
          <w:sz w:val="28"/>
          <w:szCs w:val="28"/>
        </w:rPr>
        <w:t>CÁTEDRA PARA LA PROMOCIÓN INTERNACIONAL DE LA CULTURA HISPÁNICA</w:t>
      </w:r>
    </w:p>
    <w:p w14:paraId="7757E695" w14:textId="77777777" w:rsidR="00A15D9F" w:rsidRPr="00EE3400" w:rsidRDefault="0092211F">
      <w:pPr>
        <w:pBdr>
          <w:bottom w:val="single" w:sz="6" w:space="8" w:color="8A6D1F"/>
        </w:pBdr>
        <w:spacing w:after="220"/>
        <w:jc w:val="center"/>
        <w:rPr>
          <w:sz w:val="28"/>
          <w:szCs w:val="28"/>
        </w:rPr>
      </w:pPr>
      <w:r w:rsidRPr="00EE3400">
        <w:rPr>
          <w:i/>
          <w:iCs/>
          <w:color w:val="1A2A5C"/>
          <w:sz w:val="28"/>
          <w:szCs w:val="28"/>
        </w:rPr>
        <w:t>Universidad Rey Juan Carlos</w:t>
      </w:r>
    </w:p>
    <w:p w14:paraId="0235E76E" w14:textId="77777777" w:rsidR="00A15D9F" w:rsidRPr="00EE3400" w:rsidRDefault="0092211F">
      <w:pPr>
        <w:spacing w:before="100" w:after="50"/>
        <w:jc w:val="center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HORIZONTES CULTURALES HISPÁNICOS</w:t>
      </w:r>
    </w:p>
    <w:p w14:paraId="68FC1FD4" w14:textId="77777777" w:rsidR="00A15D9F" w:rsidRPr="00EE3400" w:rsidRDefault="0092211F">
      <w:pPr>
        <w:spacing w:after="50"/>
        <w:jc w:val="center"/>
        <w:rPr>
          <w:b/>
          <w:bCs/>
          <w:sz w:val="28"/>
          <w:szCs w:val="28"/>
          <w:u w:val="single"/>
        </w:rPr>
      </w:pPr>
      <w:r w:rsidRPr="00EE3400">
        <w:rPr>
          <w:b/>
          <w:bCs/>
          <w:color w:val="1A2A5C"/>
          <w:sz w:val="28"/>
          <w:szCs w:val="28"/>
          <w:u w:val="single"/>
        </w:rPr>
        <w:t>Normas para autores</w:t>
      </w:r>
    </w:p>
    <w:p w14:paraId="2B5E030D" w14:textId="77777777" w:rsidR="00A15D9F" w:rsidRPr="00EE3400" w:rsidRDefault="0092211F">
      <w:pPr>
        <w:pBdr>
          <w:bottom w:val="single" w:sz="6" w:space="8" w:color="8A6D1F"/>
        </w:pBdr>
        <w:spacing w:after="240"/>
        <w:jc w:val="center"/>
        <w:rPr>
          <w:sz w:val="28"/>
          <w:szCs w:val="28"/>
        </w:rPr>
      </w:pPr>
      <w:r w:rsidRPr="00EE3400">
        <w:rPr>
          <w:i/>
          <w:iCs/>
          <w:color w:val="444444"/>
          <w:sz w:val="28"/>
          <w:szCs w:val="28"/>
        </w:rPr>
        <w:t>Instrucciones para la presentación y el envío de originales</w:t>
      </w:r>
    </w:p>
    <w:p w14:paraId="50A7DDF1" w14:textId="77777777" w:rsidR="00A15D9F" w:rsidRPr="00EE3400" w:rsidRDefault="0092211F">
      <w:pPr>
        <w:spacing w:after="220"/>
        <w:jc w:val="center"/>
        <w:rPr>
          <w:sz w:val="28"/>
          <w:szCs w:val="28"/>
        </w:rPr>
      </w:pPr>
      <w:r w:rsidRPr="00EE3400">
        <w:rPr>
          <w:color w:val="444444"/>
          <w:sz w:val="28"/>
          <w:szCs w:val="28"/>
        </w:rPr>
        <w:t>Documento de trabajo  ·  Versión 1.1  ·  21 de septiembre de 2026</w:t>
      </w:r>
    </w:p>
    <w:p w14:paraId="52FA46AF" w14:textId="77777777" w:rsidR="00A15D9F" w:rsidRPr="00EE3400" w:rsidRDefault="0092211F">
      <w:pPr>
        <w:pBdr>
          <w:top w:val="single" w:sz="4" w:space="6" w:color="8A6D1F"/>
          <w:left w:val="single" w:sz="4" w:space="10" w:color="8A6D1F"/>
          <w:bottom w:val="single" w:sz="4" w:space="6" w:color="8A6D1F"/>
          <w:right w:val="single" w:sz="4" w:space="10" w:color="8A6D1F"/>
        </w:pBdr>
        <w:shd w:val="clear" w:color="auto" w:fill="F3F1E9"/>
        <w:spacing w:before="40" w:after="80" w:line="276" w:lineRule="auto"/>
        <w:jc w:val="both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 xml:space="preserve">Alcance.  </w:t>
      </w:r>
      <w:r w:rsidRPr="00EE3400">
        <w:rPr>
          <w:sz w:val="28"/>
          <w:szCs w:val="28"/>
        </w:rPr>
        <w:t>Horizontes Culturales Hispánicos publica trabajos originales e inéditos sobre el mundo hispánico en sus dimensiones histórica, cultural, social, económica e institucional, con especial atención a los estudios que integran las humanidades, las ciencias sociales y la economía de la cultura. Los envíos que no se ajusten a estas normas podrán ser devueltos antes de su evaluación.</w:t>
      </w:r>
    </w:p>
    <w:p w14:paraId="66768322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1.  Tipología y extensión de los trabajos</w:t>
      </w:r>
    </w:p>
    <w:p w14:paraId="6B91AE34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Las extensiones se expresan en palabras e incluyen notas y bibliografía. La revista admite las siguientes modalidades: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A15D9F" w:rsidRPr="00EE3400" w14:paraId="21579E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1A2A5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4EE96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b/>
                <w:bCs/>
                <w:color w:val="FFFFFF"/>
                <w:sz w:val="28"/>
                <w:szCs w:val="28"/>
              </w:rPr>
              <w:t>Modalidad</w:t>
            </w:r>
          </w:p>
        </w:tc>
        <w:tc>
          <w:tcPr>
            <w:tcW w:w="4026" w:type="dxa"/>
            <w:shd w:val="clear" w:color="auto" w:fill="1A2A5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1C755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b/>
                <w:bCs/>
                <w:color w:val="FFFFFF"/>
                <w:sz w:val="28"/>
                <w:szCs w:val="28"/>
              </w:rPr>
              <w:t>Descripción</w:t>
            </w:r>
          </w:p>
        </w:tc>
        <w:tc>
          <w:tcPr>
            <w:tcW w:w="2000" w:type="dxa"/>
            <w:shd w:val="clear" w:color="auto" w:fill="1A2A5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8F5B9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b/>
                <w:bCs/>
                <w:color w:val="FFFFFF"/>
                <w:sz w:val="28"/>
                <w:szCs w:val="28"/>
              </w:rPr>
              <w:t>Extensión</w:t>
            </w:r>
          </w:p>
        </w:tc>
      </w:tr>
      <w:tr w:rsidR="00A15D9F" w:rsidRPr="00EE3400" w14:paraId="049FD45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B0F26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Artículo de investigación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10A55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Trabajo original con aportación científica sustantiva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63D70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7.000–10.000</w:t>
            </w:r>
          </w:p>
        </w:tc>
      </w:tr>
      <w:tr w:rsidR="00A15D9F" w:rsidRPr="00EE3400" w14:paraId="1C30257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2FC75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Estudio o nota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BD3F8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Contribución más breve o de alcance acotado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FA52A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4.000–6.000</w:t>
            </w:r>
          </w:p>
        </w:tc>
      </w:tr>
      <w:tr w:rsidR="00A15D9F" w:rsidRPr="00EE3400" w14:paraId="72EC9E7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9D43D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Nota y debate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02717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Reflexión metodológica, debate o respuesta crítica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86BCD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3.000–5.000</w:t>
            </w:r>
          </w:p>
        </w:tc>
      </w:tr>
      <w:tr w:rsidR="00A15D9F" w:rsidRPr="00EE3400" w14:paraId="78B136C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92DE6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Edición de fuentes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2C092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Introducción crítica, transcripción y notas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29029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Hasta 8.000</w:t>
            </w:r>
          </w:p>
        </w:tc>
      </w:tr>
      <w:tr w:rsidR="00A15D9F" w:rsidRPr="00EE3400" w14:paraId="68C2D7E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E7D5A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Entrevista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BCDA0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Diálogo con especialistas o gestores culturales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C2421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3.000–5.000</w:t>
            </w:r>
          </w:p>
        </w:tc>
      </w:tr>
      <w:tr w:rsidR="00A15D9F" w:rsidRPr="00EE3400" w14:paraId="156229D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0E766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Reseña bibliográfica</w:t>
            </w:r>
          </w:p>
        </w:tc>
        <w:tc>
          <w:tcPr>
            <w:tcW w:w="4026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9F5EA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Análisis de una novedad editorial o recurso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C0540" w14:textId="77777777" w:rsidR="00A15D9F" w:rsidRPr="00EE3400" w:rsidRDefault="0092211F">
            <w:pPr>
              <w:spacing w:line="252" w:lineRule="auto"/>
              <w:rPr>
                <w:sz w:val="28"/>
                <w:szCs w:val="28"/>
              </w:rPr>
            </w:pPr>
            <w:r w:rsidRPr="00EE3400">
              <w:rPr>
                <w:color w:val="000000"/>
                <w:sz w:val="28"/>
                <w:szCs w:val="28"/>
              </w:rPr>
              <w:t>1.500–2.500</w:t>
            </w:r>
          </w:p>
        </w:tc>
      </w:tr>
    </w:tbl>
    <w:p w14:paraId="71EAE7ED" w14:textId="77777777" w:rsidR="00A15D9F" w:rsidRPr="00EE3400" w:rsidRDefault="0092211F">
      <w:pPr>
        <w:spacing w:before="120"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El Dossier temático se compone por convocatoria específica o encargo de la Dirección, dentro de las extensiones previstas para los artículos.</w:t>
      </w:r>
    </w:p>
    <w:p w14:paraId="5BD0675B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lastRenderedPageBreak/>
        <w:t>2.  Lenguas de publicación</w:t>
      </w:r>
    </w:p>
    <w:p w14:paraId="6519FC6D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Se aceptan trabajos en español, inglés y portugués. Con independencia de la lengua del trabajo, el título, el resumen y las palabras clave se aportarán en español e inglés.</w:t>
      </w:r>
    </w:p>
    <w:p w14:paraId="30F5D0CB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3.  Presentación y formato del manuscrito</w:t>
      </w:r>
    </w:p>
    <w:p w14:paraId="6157C480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Formato. </w:t>
      </w:r>
      <w:r w:rsidRPr="00EE3400">
        <w:rPr>
          <w:sz w:val="28"/>
          <w:szCs w:val="28"/>
        </w:rPr>
        <w:t>Documento de Microsoft Word (.docx), tamaño A4, márgenes de 2,5 cm, tipografía de 12 puntos, interlineado de 1,5 y texto justificado.</w:t>
      </w:r>
    </w:p>
    <w:p w14:paraId="7F1A4AA6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Primera página. </w:t>
      </w:r>
      <w:r w:rsidRPr="00EE3400">
        <w:rPr>
          <w:sz w:val="28"/>
          <w:szCs w:val="28"/>
        </w:rPr>
        <w:t>Título en español e inglés; resumen en ambas lenguas (150–250 palabras cada uno); de cuatro a seis palabras clave y sus keywords; y clasificación temática si procede.</w:t>
      </w:r>
    </w:p>
    <w:p w14:paraId="2EAEAE94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Datos del autor (en archivo aparte). </w:t>
      </w:r>
      <w:r w:rsidRPr="00EE3400">
        <w:rPr>
          <w:sz w:val="28"/>
          <w:szCs w:val="28"/>
        </w:rPr>
        <w:t>Nombre y apellidos, afiliación institucional, identificador ORCID, correo electrónico y una nota biográfica breve (máximo 80 palabras). Estos datos no figurarán en el manuscrito para preservar el anonimato.</w:t>
      </w:r>
    </w:p>
    <w:p w14:paraId="7E6C295F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Financiación y agradecimientos. </w:t>
      </w:r>
      <w:r w:rsidRPr="00EE3400">
        <w:rPr>
          <w:sz w:val="28"/>
          <w:szCs w:val="28"/>
        </w:rPr>
        <w:t>Se harán constar, en su caso, las ayudas y proyectos que financian la investigación, en nota inicial no anonimizada del archivo de datos.</w:t>
      </w:r>
    </w:p>
    <w:p w14:paraId="167C17E7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4.  Estructura del trabajo</w:t>
      </w:r>
    </w:p>
    <w:p w14:paraId="31ADAC18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Los artículos de investigación se organizarán, con carácter orientativo, en introducción, desarrollo estructurado en epígrafes numerados, conclusiones y relación bibliográfica final. Las tablas y figuras se numerarán correlativamente, con título y fuente, y se citarán en el texto. Cada trabajo incluirá su bibliografía completa al final, solo con las obras efectivamente citadas.</w:t>
      </w:r>
    </w:p>
    <w:p w14:paraId="6EAFF0E1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5.  Normas de cita y referencias</w:t>
      </w:r>
    </w:p>
    <w:p w14:paraId="6EB8D19C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 xml:space="preserve">Se adopta como estilo único la norma </w:t>
      </w:r>
      <w:r w:rsidRPr="00EE3400">
        <w:rPr>
          <w:b/>
          <w:bCs/>
          <w:sz w:val="28"/>
          <w:szCs w:val="28"/>
        </w:rPr>
        <w:t>ISO 690 (UNE-ISO 690)</w:t>
      </w:r>
      <w:r w:rsidRPr="00EE3400">
        <w:rPr>
          <w:sz w:val="28"/>
          <w:szCs w:val="28"/>
        </w:rPr>
        <w:t>. Las citas se consignan en el texto por el sistema de nombre y fecha —(Apellido, año, p. X)— y las referencias se relacionan al final, ordenadas alfabéticamente por el primer apellido del autor. Las notas al pie se reservan para aclaraciones y no para las referencias. Las fuentes legislativas y jurisprudenciales se citan conforme a su forma oficial. Ejemplos:</w:t>
      </w:r>
    </w:p>
    <w:p w14:paraId="434E40D6" w14:textId="77777777" w:rsidR="00A15D9F" w:rsidRPr="00EE3400" w:rsidRDefault="0092211F">
      <w:pPr>
        <w:pStyle w:val="Ttulo2"/>
        <w:keepNext/>
        <w:spacing w:before="180" w:after="100"/>
        <w:rPr>
          <w:sz w:val="28"/>
          <w:szCs w:val="28"/>
        </w:rPr>
      </w:pPr>
      <w:r w:rsidRPr="00EE3400">
        <w:rPr>
          <w:b/>
          <w:bCs/>
          <w:color w:val="8A6D1F"/>
          <w:sz w:val="28"/>
          <w:szCs w:val="28"/>
        </w:rPr>
        <w:t>Cita en el texto</w:t>
      </w:r>
    </w:p>
    <w:p w14:paraId="2C1A32A0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(García Cárcel, 2017, p. 122)   ·   (Elliott y Brockliss, 2019, pp. 45-48)</w:t>
      </w:r>
    </w:p>
    <w:p w14:paraId="0414F8A6" w14:textId="77777777" w:rsidR="00A15D9F" w:rsidRPr="00EE3400" w:rsidRDefault="0092211F">
      <w:pPr>
        <w:pStyle w:val="Ttulo2"/>
        <w:keepNext/>
        <w:spacing w:before="180" w:after="100"/>
        <w:rPr>
          <w:sz w:val="28"/>
          <w:szCs w:val="28"/>
        </w:rPr>
      </w:pPr>
      <w:r w:rsidRPr="00EE3400">
        <w:rPr>
          <w:b/>
          <w:bCs/>
          <w:color w:val="8A6D1F"/>
          <w:sz w:val="28"/>
          <w:szCs w:val="28"/>
        </w:rPr>
        <w:lastRenderedPageBreak/>
        <w:t>Referencias</w:t>
      </w:r>
    </w:p>
    <w:p w14:paraId="3393A796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Monografía:  GARCÍA CÁRCEL, Ricardo. La leyenda negra: historia y opinión. Madrid: Alianza Editorial, 2017. ISBN 978-84-9104-000-0.</w:t>
      </w:r>
    </w:p>
    <w:p w14:paraId="4290F092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Parte de monografía:  KAMEN, Henry. «El imperio y sus lenguas». En: ELLIOTT, John (ed.). Historia de la monarquía hispánica. Barcelona: Crítica, 2019, pp. 210-234.</w:t>
      </w:r>
    </w:p>
    <w:p w14:paraId="4D69EB07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Artículo de revista:  YUN CASALILLA, Bartolomé. «Economía política del patrimonio». Revista de Historia Económica. 2020, vol. 38, n.º 2, pp. 201-229. ISSN 0212-6109. Disponible en: https://doi.org/10.xxxx/xxxx.</w:t>
      </w:r>
    </w:p>
    <w:p w14:paraId="736A4B26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Fuente de archivo:  Archivo General de Indias (AGI), Sevilla. Indiferente General, leg. 1962, L. 3, f. 45r.</w:t>
      </w:r>
    </w:p>
    <w:p w14:paraId="4FD1E851" w14:textId="77777777" w:rsidR="00A15D9F" w:rsidRPr="00EE3400" w:rsidRDefault="0092211F">
      <w:pPr>
        <w:spacing w:after="60" w:line="264" w:lineRule="auto"/>
        <w:ind w:left="460" w:hanging="260"/>
        <w:rPr>
          <w:sz w:val="28"/>
          <w:szCs w:val="28"/>
        </w:rPr>
      </w:pPr>
      <w:r w:rsidRPr="00EE3400">
        <w:rPr>
          <w:sz w:val="28"/>
          <w:szCs w:val="28"/>
        </w:rPr>
        <w:t>Legislación:  España. Ley 16/1985, de 25 de junio, del Patrimonio Histórico Español. Boletín Oficial del Estado, n.º 155, de 29 de junio de 1985.</w:t>
      </w:r>
    </w:p>
    <w:p w14:paraId="42CA3A7A" w14:textId="77777777" w:rsidR="00A15D9F" w:rsidRPr="00EE3400" w:rsidRDefault="0092211F">
      <w:pPr>
        <w:pBdr>
          <w:top w:val="single" w:sz="4" w:space="6" w:color="8A6D1F"/>
          <w:left w:val="single" w:sz="4" w:space="10" w:color="8A6D1F"/>
          <w:bottom w:val="single" w:sz="4" w:space="6" w:color="8A6D1F"/>
          <w:right w:val="single" w:sz="4" w:space="10" w:color="8A6D1F"/>
        </w:pBdr>
        <w:shd w:val="clear" w:color="auto" w:fill="F3F1E9"/>
        <w:spacing w:before="40" w:after="80" w:line="276" w:lineRule="auto"/>
        <w:jc w:val="both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 xml:space="preserve">Nota. </w:t>
      </w:r>
      <w:r w:rsidRPr="00EE3400">
        <w:rPr>
          <w:sz w:val="28"/>
          <w:szCs w:val="28"/>
        </w:rPr>
        <w:t>Se recomienda el uso de un gestor de referencias (Zotero o Mendeley) con el estilo ISO 690. La revista pondrá a disposición de los autores una plantilla y una hoja de estilo en su página web.</w:t>
      </w:r>
    </w:p>
    <w:p w14:paraId="633225FF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6.  Tablas, figuras e ilustraciones</w:t>
      </w:r>
    </w:p>
    <w:p w14:paraId="15E89303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Las imágenes se enviarán además en archivo independiente, en formato TIFF, PNG o JPEG de alta resolución (mínimo 300 ppp). El autor garantizará que dispone de los derechos de reproducción del material gráfico y aportará la referencia de la fuente y, cuando proceda, la autorización correspondiente.</w:t>
      </w:r>
    </w:p>
    <w:p w14:paraId="165C98BC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7.  Envío de originales</w:t>
      </w:r>
    </w:p>
    <w:p w14:paraId="795C1213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Los trabajos se remitirán exclusivamente a través de la plataforma editorial (OJS) de la revista. El envío incluirá dos archivos: el manuscrito anonimizado —sin datos de autoría ni autocitas que revelen la identidad— y el archivo de datos del autor. La revista no admite el envío por correo electrónico ni la recepción de trabajos que estén simultáneamente en evaluación en otra publicación.</w:t>
      </w:r>
    </w:p>
    <w:p w14:paraId="5C2E626E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8.  Proceso editorial y plazos</w:t>
      </w:r>
    </w:p>
    <w:p w14:paraId="7A82F5CA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Acuse de recibo. </w:t>
      </w:r>
      <w:r w:rsidRPr="00EE3400">
        <w:rPr>
          <w:sz w:val="28"/>
          <w:szCs w:val="28"/>
        </w:rPr>
        <w:t>La Secretaría Técnica confirmará la recepción en un plazo aproximado de una semana.</w:t>
      </w:r>
    </w:p>
    <w:p w14:paraId="0D1C52CD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Revisión editorial preliminar. </w:t>
      </w:r>
      <w:r w:rsidRPr="00EE3400">
        <w:rPr>
          <w:sz w:val="28"/>
          <w:szCs w:val="28"/>
        </w:rPr>
        <w:t>La Dirección verificará la adecuación temática, la originalidad y el cumplimiento formal (aproximadamente dos a tres semanas).</w:t>
      </w:r>
    </w:p>
    <w:p w14:paraId="12A1453D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lastRenderedPageBreak/>
        <w:t xml:space="preserve">Evaluación por pares. </w:t>
      </w:r>
      <w:r w:rsidRPr="00EE3400">
        <w:rPr>
          <w:sz w:val="28"/>
          <w:szCs w:val="28"/>
        </w:rPr>
        <w:t>Al menos dos revisores externos evaluarán el trabajo en modalidad doble ciego. En caso de discrepancia, se recabará un tercer informe.</w:t>
      </w:r>
    </w:p>
    <w:p w14:paraId="4FE9E291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Decisión. </w:t>
      </w:r>
      <w:r w:rsidRPr="00EE3400">
        <w:rPr>
          <w:sz w:val="28"/>
          <w:szCs w:val="28"/>
        </w:rPr>
        <w:t>Aceptación, aceptación con modificaciones, revisión con nueva evaluación o rechazo, comunicada de forma motivada al autor. El plazo orientativo del proceso completo es de tres a cuatro meses.</w:t>
      </w:r>
    </w:p>
    <w:p w14:paraId="5AA5B15C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9.  Compromisos éticos del autor</w:t>
      </w:r>
    </w:p>
    <w:p w14:paraId="21920AB6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Originalidad del trabajo y ausencia de plagio; los manuscritos se someten a control antiplagio.</w:t>
      </w:r>
    </w:p>
    <w:p w14:paraId="7AB1BE5B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No presentación simultánea del trabajo a otras revistas.</w:t>
      </w:r>
    </w:p>
    <w:p w14:paraId="0FE0ABE3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Reconocimiento adecuado de la autoría y de las fuentes utilizadas.</w:t>
      </w:r>
    </w:p>
    <w:p w14:paraId="392EDCA3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Declaración de conflictos de interés y de las fuentes de financiación.</w:t>
      </w:r>
    </w:p>
    <w:p w14:paraId="55D32365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 xml:space="preserve">Estos compromisos se rigen por el </w:t>
      </w:r>
      <w:r w:rsidRPr="00EE3400">
        <w:rPr>
          <w:i/>
          <w:iCs/>
          <w:sz w:val="28"/>
          <w:szCs w:val="28"/>
        </w:rPr>
        <w:t>Código ético y de buenas prácticas</w:t>
      </w:r>
      <w:r w:rsidRPr="00EE3400">
        <w:rPr>
          <w:sz w:val="28"/>
          <w:szCs w:val="28"/>
        </w:rPr>
        <w:t xml:space="preserve"> de la revista, que autores y revisores aceptan al participar en el proceso editorial.</w:t>
      </w:r>
    </w:p>
    <w:p w14:paraId="2001ACCA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10.  Declaraciones obligatorias</w:t>
      </w:r>
    </w:p>
    <w:p w14:paraId="7B4E85B7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Antes de la bibliografía —y en el archivo de datos cuando su contenido pueda revelar la identidad del autor— los trabajos incorporarán las siguientes declaraciones:</w:t>
      </w:r>
    </w:p>
    <w:p w14:paraId="0E6CB080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Contribución de autoría. </w:t>
      </w:r>
      <w:r w:rsidRPr="00EE3400">
        <w:rPr>
          <w:sz w:val="28"/>
          <w:szCs w:val="28"/>
        </w:rPr>
        <w:t>Aportación de cada autor conforme a la taxonomía CRediT.</w:t>
      </w:r>
    </w:p>
    <w:p w14:paraId="7ABBCB14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Financiación. </w:t>
      </w:r>
      <w:r w:rsidRPr="00EE3400">
        <w:rPr>
          <w:sz w:val="28"/>
          <w:szCs w:val="28"/>
        </w:rPr>
        <w:t>Ayudas, proyectos o contratos que han financiado la investigación, con sus referencias; o declaración expresa de su ausencia.</w:t>
      </w:r>
    </w:p>
    <w:p w14:paraId="116AC165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Conflictos de interés. </w:t>
      </w:r>
      <w:r w:rsidRPr="00EE3400">
        <w:rPr>
          <w:sz w:val="28"/>
          <w:szCs w:val="28"/>
        </w:rPr>
        <w:t>Cualquier interés que pueda condicionar el trabajo, o declaración de su inexistencia.</w:t>
      </w:r>
    </w:p>
    <w:p w14:paraId="4789EE5F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Disponibilidad de datos. </w:t>
      </w:r>
      <w:r w:rsidRPr="00EE3400">
        <w:rPr>
          <w:sz w:val="28"/>
          <w:szCs w:val="28"/>
        </w:rPr>
        <w:t>Ubicación de los datos en que se sustenta la investigación, cuando proceda.</w:t>
      </w:r>
    </w:p>
    <w:p w14:paraId="118A9293" w14:textId="77777777" w:rsidR="00A15D9F" w:rsidRPr="00EE3400" w:rsidRDefault="0092211F">
      <w:pPr>
        <w:pStyle w:val="Prrafodelista"/>
        <w:numPr>
          <w:ilvl w:val="0"/>
          <w:numId w:val="2"/>
        </w:numPr>
        <w:spacing w:after="70" w:line="276" w:lineRule="auto"/>
        <w:jc w:val="both"/>
        <w:rPr>
          <w:sz w:val="28"/>
          <w:szCs w:val="28"/>
        </w:rPr>
      </w:pPr>
      <w:r w:rsidRPr="00EE3400">
        <w:rPr>
          <w:b/>
          <w:bCs/>
          <w:sz w:val="28"/>
          <w:szCs w:val="28"/>
        </w:rPr>
        <w:t xml:space="preserve">Uso de inteligencia artificial. </w:t>
      </w:r>
      <w:r w:rsidRPr="00EE3400">
        <w:rPr>
          <w:sz w:val="28"/>
          <w:szCs w:val="28"/>
        </w:rPr>
        <w:t>Empleo de herramientas de IA generativa, con indicación de su finalidad; en ningún caso figurarán como autoras.</w:t>
      </w:r>
    </w:p>
    <w:p w14:paraId="0C25BFA3" w14:textId="77777777" w:rsidR="00A15D9F" w:rsidRPr="00EE3400" w:rsidRDefault="0092211F">
      <w:pPr>
        <w:pStyle w:val="Ttulo1"/>
        <w:keepNext/>
        <w:spacing w:before="300" w:after="140"/>
        <w:rPr>
          <w:sz w:val="28"/>
          <w:szCs w:val="28"/>
        </w:rPr>
      </w:pPr>
      <w:r w:rsidRPr="00EE3400">
        <w:rPr>
          <w:b/>
          <w:bCs/>
          <w:color w:val="1A2A5C"/>
          <w:sz w:val="28"/>
          <w:szCs w:val="28"/>
        </w:rPr>
        <w:t>11.  Derechos de autor y licencia</w:t>
      </w:r>
    </w:p>
    <w:p w14:paraId="1F358677" w14:textId="77777777" w:rsidR="00A15D9F" w:rsidRPr="00EE3400" w:rsidRDefault="0092211F">
      <w:pPr>
        <w:spacing w:after="140" w:line="276" w:lineRule="auto"/>
        <w:jc w:val="both"/>
        <w:rPr>
          <w:sz w:val="28"/>
          <w:szCs w:val="28"/>
        </w:rPr>
      </w:pPr>
      <w:r w:rsidRPr="00EE3400">
        <w:rPr>
          <w:sz w:val="28"/>
          <w:szCs w:val="28"/>
        </w:rPr>
        <w:t>La revista es de acceso abierto y no aplica cargos por envío ni por publicación. Los autores conservan sus derechos y ceden a la revista, de forma no exclusiva, los de la primera publicación. Los trabajos se difunden bajo licencia Creative Commons [CC BY o CC BY-NC, a determinar], que permite su reutilización con reconocimiento de la autoría y de la fuente original.</w:t>
      </w:r>
    </w:p>
    <w:sectPr w:rsidR="00A15D9F" w:rsidRPr="00EE340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FD4D1" w14:textId="77777777" w:rsidR="0092211F" w:rsidRDefault="0092211F">
      <w:r>
        <w:separator/>
      </w:r>
    </w:p>
  </w:endnote>
  <w:endnote w:type="continuationSeparator" w:id="0">
    <w:p w14:paraId="4D3F3361" w14:textId="77777777" w:rsidR="0092211F" w:rsidRDefault="0092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83E0" w14:textId="77777777" w:rsidR="00A15D9F" w:rsidRDefault="0092211F">
    <w:pPr>
      <w:pBdr>
        <w:top w:val="single" w:sz="4" w:space="4" w:color="CCCCCC"/>
      </w:pBdr>
      <w:jc w:val="center"/>
    </w:pPr>
    <w:r>
      <w:rPr>
        <w:color w:val="888888"/>
        <w:sz w:val="18"/>
        <w:szCs w:val="18"/>
      </w:rPr>
      <w:t xml:space="preserve">Página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EE3400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de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>
      <w:rPr>
        <w:color w:val="888888"/>
        <w:sz w:val="18"/>
        <w:szCs w:val="18"/>
      </w:rPr>
      <w:fldChar w:fldCharType="separate"/>
    </w:r>
    <w:r w:rsidR="00EE3400"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CA8B" w14:textId="77777777" w:rsidR="0092211F" w:rsidRDefault="0092211F">
      <w:r>
        <w:separator/>
      </w:r>
    </w:p>
  </w:footnote>
  <w:footnote w:type="continuationSeparator" w:id="0">
    <w:p w14:paraId="306C0BB2" w14:textId="77777777" w:rsidR="0092211F" w:rsidRDefault="00922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ED5" w14:textId="77777777" w:rsidR="00A15D9F" w:rsidRDefault="0092211F">
    <w:pPr>
      <w:pBdr>
        <w:bottom w:val="single" w:sz="4" w:space="4" w:color="CCCCCC"/>
      </w:pBdr>
      <w:jc w:val="right"/>
    </w:pPr>
    <w:r>
      <w:rPr>
        <w:i/>
        <w:iCs/>
        <w:color w:val="888888"/>
        <w:sz w:val="16"/>
        <w:szCs w:val="16"/>
      </w:rPr>
      <w:t>Horizontes Culturales Hispánicos · Normas para autores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73CE"/>
    <w:multiLevelType w:val="hybridMultilevel"/>
    <w:tmpl w:val="D41EFA7E"/>
    <w:lvl w:ilvl="0" w:tplc="7B92F19A">
      <w:start w:val="1"/>
      <w:numFmt w:val="bullet"/>
      <w:lvlText w:val="•"/>
      <w:lvlJc w:val="left"/>
      <w:pPr>
        <w:ind w:left="460" w:hanging="260"/>
      </w:pPr>
    </w:lvl>
    <w:lvl w:ilvl="1" w:tplc="4440A36E">
      <w:start w:val="1"/>
      <w:numFmt w:val="bullet"/>
      <w:lvlText w:val="–"/>
      <w:lvlJc w:val="left"/>
      <w:pPr>
        <w:ind w:left="920" w:hanging="260"/>
      </w:pPr>
    </w:lvl>
    <w:lvl w:ilvl="2" w:tplc="5CD8378E">
      <w:numFmt w:val="decimal"/>
      <w:lvlText w:val=""/>
      <w:lvlJc w:val="left"/>
    </w:lvl>
    <w:lvl w:ilvl="3" w:tplc="8BE4231E">
      <w:numFmt w:val="decimal"/>
      <w:lvlText w:val=""/>
      <w:lvlJc w:val="left"/>
    </w:lvl>
    <w:lvl w:ilvl="4" w:tplc="90D00FA4">
      <w:numFmt w:val="decimal"/>
      <w:lvlText w:val=""/>
      <w:lvlJc w:val="left"/>
    </w:lvl>
    <w:lvl w:ilvl="5" w:tplc="4E9E8344">
      <w:numFmt w:val="decimal"/>
      <w:lvlText w:val=""/>
      <w:lvlJc w:val="left"/>
    </w:lvl>
    <w:lvl w:ilvl="6" w:tplc="6C847578">
      <w:numFmt w:val="decimal"/>
      <w:lvlText w:val=""/>
      <w:lvlJc w:val="left"/>
    </w:lvl>
    <w:lvl w:ilvl="7" w:tplc="181657D4">
      <w:numFmt w:val="decimal"/>
      <w:lvlText w:val=""/>
      <w:lvlJc w:val="left"/>
    </w:lvl>
    <w:lvl w:ilvl="8" w:tplc="D7740056">
      <w:numFmt w:val="decimal"/>
      <w:lvlText w:val=""/>
      <w:lvlJc w:val="left"/>
    </w:lvl>
  </w:abstractNum>
  <w:abstractNum w:abstractNumId="1" w15:restartNumberingAfterBreak="0">
    <w:nsid w:val="6A36788D"/>
    <w:multiLevelType w:val="hybridMultilevel"/>
    <w:tmpl w:val="1CEE5B0C"/>
    <w:lvl w:ilvl="0" w:tplc="6D2829C6">
      <w:start w:val="1"/>
      <w:numFmt w:val="bullet"/>
      <w:lvlText w:val="●"/>
      <w:lvlJc w:val="left"/>
      <w:pPr>
        <w:ind w:left="720" w:hanging="360"/>
      </w:pPr>
    </w:lvl>
    <w:lvl w:ilvl="1" w:tplc="1FDE0898">
      <w:start w:val="1"/>
      <w:numFmt w:val="bullet"/>
      <w:lvlText w:val="○"/>
      <w:lvlJc w:val="left"/>
      <w:pPr>
        <w:ind w:left="1440" w:hanging="360"/>
      </w:pPr>
    </w:lvl>
    <w:lvl w:ilvl="2" w:tplc="32EA8A98">
      <w:start w:val="1"/>
      <w:numFmt w:val="bullet"/>
      <w:lvlText w:val="■"/>
      <w:lvlJc w:val="left"/>
      <w:pPr>
        <w:ind w:left="2160" w:hanging="360"/>
      </w:pPr>
    </w:lvl>
    <w:lvl w:ilvl="3" w:tplc="4BBE2148">
      <w:start w:val="1"/>
      <w:numFmt w:val="bullet"/>
      <w:lvlText w:val="●"/>
      <w:lvlJc w:val="left"/>
      <w:pPr>
        <w:ind w:left="2880" w:hanging="360"/>
      </w:pPr>
    </w:lvl>
    <w:lvl w:ilvl="4" w:tplc="16668ECC">
      <w:start w:val="1"/>
      <w:numFmt w:val="bullet"/>
      <w:lvlText w:val="○"/>
      <w:lvlJc w:val="left"/>
      <w:pPr>
        <w:ind w:left="3600" w:hanging="360"/>
      </w:pPr>
    </w:lvl>
    <w:lvl w:ilvl="5" w:tplc="8B524F7C">
      <w:start w:val="1"/>
      <w:numFmt w:val="bullet"/>
      <w:lvlText w:val="■"/>
      <w:lvlJc w:val="left"/>
      <w:pPr>
        <w:ind w:left="4320" w:hanging="360"/>
      </w:pPr>
    </w:lvl>
    <w:lvl w:ilvl="6" w:tplc="E02CA43A">
      <w:start w:val="1"/>
      <w:numFmt w:val="bullet"/>
      <w:lvlText w:val="●"/>
      <w:lvlJc w:val="left"/>
      <w:pPr>
        <w:ind w:left="5040" w:hanging="360"/>
      </w:pPr>
    </w:lvl>
    <w:lvl w:ilvl="7" w:tplc="C92E9B18">
      <w:start w:val="1"/>
      <w:numFmt w:val="bullet"/>
      <w:lvlText w:val="●"/>
      <w:lvlJc w:val="left"/>
      <w:pPr>
        <w:ind w:left="5760" w:hanging="360"/>
      </w:pPr>
    </w:lvl>
    <w:lvl w:ilvl="8" w:tplc="92E85C70">
      <w:start w:val="1"/>
      <w:numFmt w:val="bullet"/>
      <w:lvlText w:val="●"/>
      <w:lvlJc w:val="left"/>
      <w:pPr>
        <w:ind w:left="6480" w:hanging="360"/>
      </w:pPr>
    </w:lvl>
  </w:abstractNum>
  <w:num w:numId="1" w16cid:durableId="910431770">
    <w:abstractNumId w:val="1"/>
    <w:lvlOverride w:ilvl="0">
      <w:startOverride w:val="1"/>
    </w:lvlOverride>
  </w:num>
  <w:num w:numId="2" w16cid:durableId="4842482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D9F"/>
    <w:rsid w:val="0092211F"/>
    <w:rsid w:val="00A15D9F"/>
    <w:rsid w:val="00B40D00"/>
    <w:rsid w:val="00EE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0FC7"/>
  <w15:docId w15:val="{1050E4F5-6E66-419C-A5B5-5E831D57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3"/>
        <w:szCs w:val="23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6286</Characters>
  <Application>Microsoft Office Word</Application>
  <DocSecurity>0</DocSecurity>
  <Lines>52</Lines>
  <Paragraphs>14</Paragraphs>
  <ScaleCrop>false</ScaleCrop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para autores</dc:title>
  <dc:creator>Cátedra para la Promoción Internacional de la Cultura Hispánica (URJC)</dc:creator>
  <cp:lastModifiedBy>Morris Eidelman</cp:lastModifiedBy>
  <cp:revision>2</cp:revision>
  <dcterms:created xsi:type="dcterms:W3CDTF">2026-09-22T10:59:00Z</dcterms:created>
  <dcterms:modified xsi:type="dcterms:W3CDTF">2026-09-22T10:59:00Z</dcterms:modified>
</cp:coreProperties>
</file>